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BF5DF3">
      <w:pPr>
        <w:ind w:firstLine="883" w:firstLineChars="200"/>
        <w:jc w:val="center"/>
        <w:rPr>
          <w:rFonts w:hint="default" w:ascii="仿宋" w:hAnsi="仿宋" w:eastAsia="仿宋" w:cs="仿宋"/>
          <w:color w:val="auto"/>
          <w:sz w:val="44"/>
          <w:szCs w:val="44"/>
          <w:lang w:val="en-US" w:eastAsia="zh-CN"/>
        </w:rPr>
      </w:pPr>
      <w:r>
        <w:rPr>
          <w:rFonts w:hint="eastAsia" w:ascii="仿宋" w:hAnsi="仿宋" w:eastAsia="仿宋" w:cs="仿宋"/>
          <w:b/>
          <w:bCs/>
          <w:color w:val="auto"/>
          <w:sz w:val="44"/>
          <w:szCs w:val="44"/>
          <w:lang w:val="en-US" w:eastAsia="zh-CN"/>
        </w:rPr>
        <w:t>调研邀请</w:t>
      </w:r>
    </w:p>
    <w:p w14:paraId="751464F9">
      <w:pPr>
        <w:ind w:firstLine="560" w:firstLineChars="200"/>
        <w:rPr>
          <w:rFonts w:hint="eastAsia" w:ascii="仿宋" w:hAnsi="仿宋" w:eastAsia="仿宋" w:cs="仿宋"/>
          <w:color w:val="auto"/>
          <w:sz w:val="28"/>
          <w:szCs w:val="28"/>
          <w:lang w:eastAsia="zh-CN"/>
        </w:rPr>
      </w:pPr>
    </w:p>
    <w:p w14:paraId="4F5BA767">
      <w:pPr>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西昌市人民医院</w:t>
      </w:r>
      <w:r>
        <w:rPr>
          <w:rFonts w:hint="eastAsia" w:ascii="仿宋" w:hAnsi="仿宋" w:eastAsia="仿宋" w:cs="仿宋"/>
          <w:color w:val="auto"/>
          <w:sz w:val="28"/>
          <w:szCs w:val="28"/>
        </w:rPr>
        <w:t>拟对西昌市人民医院</w:t>
      </w:r>
      <w:r>
        <w:rPr>
          <w:rFonts w:hint="eastAsia" w:ascii="仿宋" w:hAnsi="仿宋" w:eastAsia="仿宋" w:cs="仿宋"/>
          <w:color w:val="auto"/>
          <w:sz w:val="28"/>
          <w:szCs w:val="28"/>
          <w:lang w:val="en-US" w:eastAsia="zh-CN"/>
        </w:rPr>
        <w:t>PET-CT设备维保项目开展</w:t>
      </w:r>
      <w:r>
        <w:rPr>
          <w:rFonts w:hint="eastAsia" w:ascii="仿宋" w:hAnsi="仿宋" w:eastAsia="仿宋" w:cs="仿宋"/>
          <w:color w:val="auto"/>
          <w:sz w:val="28"/>
          <w:szCs w:val="28"/>
        </w:rPr>
        <w:t>调研，诚邀符合条件的</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报名参加，具体情况如下</w:t>
      </w:r>
      <w:r>
        <w:rPr>
          <w:rFonts w:hint="eastAsia" w:ascii="仿宋" w:hAnsi="仿宋" w:eastAsia="仿宋" w:cs="仿宋"/>
          <w:color w:val="auto"/>
          <w:sz w:val="28"/>
          <w:szCs w:val="28"/>
          <w:lang w:eastAsia="zh-CN"/>
        </w:rPr>
        <w:t>：</w:t>
      </w:r>
    </w:p>
    <w:p w14:paraId="66AF8283">
      <w:pPr>
        <w:rPr>
          <w:rFonts w:hint="eastAsia" w:ascii="仿宋" w:hAnsi="仿宋" w:eastAsia="仿宋" w:cs="仿宋"/>
          <w:color w:val="auto"/>
          <w:sz w:val="28"/>
          <w:szCs w:val="28"/>
        </w:rPr>
      </w:pPr>
      <w:r>
        <w:rPr>
          <w:rFonts w:hint="eastAsia" w:ascii="仿宋" w:hAnsi="仿宋" w:eastAsia="仿宋" w:cs="仿宋"/>
          <w:b/>
          <w:bCs/>
          <w:color w:val="auto"/>
          <w:sz w:val="28"/>
          <w:szCs w:val="28"/>
        </w:rPr>
        <w:t>（一）项目概况</w:t>
      </w:r>
      <w:r>
        <w:rPr>
          <w:rFonts w:hint="eastAsia" w:ascii="仿宋" w:hAnsi="仿宋" w:eastAsia="仿宋" w:cs="仿宋"/>
          <w:color w:val="auto"/>
          <w:sz w:val="28"/>
          <w:szCs w:val="28"/>
        </w:rPr>
        <w:t>:</w:t>
      </w:r>
    </w:p>
    <w:p w14:paraId="63B4F480">
      <w:pPr>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本次调研针对</w:t>
      </w:r>
      <w:r>
        <w:rPr>
          <w:rFonts w:hint="eastAsia" w:ascii="仿宋" w:hAnsi="仿宋" w:eastAsia="仿宋" w:cs="仿宋"/>
          <w:color w:val="auto"/>
          <w:sz w:val="28"/>
          <w:szCs w:val="28"/>
          <w:lang w:eastAsia="zh-CN"/>
        </w:rPr>
        <w:t>西昌市人民医院</w:t>
      </w:r>
      <w:r>
        <w:rPr>
          <w:rFonts w:hint="eastAsia" w:ascii="仿宋" w:hAnsi="仿宋" w:eastAsia="仿宋" w:cs="仿宋"/>
          <w:color w:val="auto"/>
          <w:sz w:val="28"/>
          <w:szCs w:val="28"/>
          <w:lang w:val="en-US" w:eastAsia="zh-CN"/>
        </w:rPr>
        <w:t>PET-CT设备维保项目</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主要包括</w:t>
      </w:r>
      <w:r>
        <w:rPr>
          <w:rFonts w:hint="eastAsia" w:ascii="仿宋" w:hAnsi="仿宋" w:eastAsia="仿宋" w:cs="仿宋"/>
          <w:color w:val="auto"/>
          <w:sz w:val="28"/>
          <w:szCs w:val="28"/>
          <w:lang w:eastAsia="zh-CN"/>
        </w:rPr>
        <w:t>征集</w:t>
      </w:r>
      <w:r>
        <w:rPr>
          <w:rFonts w:hint="eastAsia" w:ascii="仿宋" w:hAnsi="仿宋" w:eastAsia="仿宋" w:cs="仿宋"/>
          <w:color w:val="auto"/>
          <w:sz w:val="28"/>
          <w:szCs w:val="28"/>
          <w:lang w:val="en-US" w:eastAsia="zh-CN"/>
        </w:rPr>
        <w:t>服务要求、报价、商务条款、</w:t>
      </w:r>
      <w:r>
        <w:rPr>
          <w:rFonts w:hint="eastAsia" w:ascii="仿宋" w:hAnsi="仿宋" w:eastAsia="仿宋" w:cs="仿宋"/>
          <w:color w:val="auto"/>
          <w:kern w:val="2"/>
          <w:sz w:val="28"/>
          <w:szCs w:val="28"/>
          <w:lang w:val="en-US" w:eastAsia="zh-CN" w:bidi="ar-SA"/>
        </w:rPr>
        <w:t>市场供给情况</w:t>
      </w:r>
      <w:r>
        <w:rPr>
          <w:rFonts w:hint="eastAsia" w:ascii="仿宋" w:hAnsi="仿宋" w:eastAsia="仿宋" w:cs="仿宋"/>
          <w:color w:val="auto"/>
          <w:sz w:val="28"/>
          <w:szCs w:val="28"/>
          <w:lang w:val="en-US" w:eastAsia="zh-CN"/>
        </w:rPr>
        <w:t>等内容</w:t>
      </w:r>
      <w:r>
        <w:rPr>
          <w:rFonts w:hint="eastAsia" w:ascii="仿宋" w:hAnsi="仿宋" w:eastAsia="仿宋" w:cs="仿宋"/>
          <w:color w:val="auto"/>
          <w:sz w:val="28"/>
          <w:szCs w:val="28"/>
          <w:lang w:eastAsia="zh-CN"/>
        </w:rPr>
        <w:t>。</w:t>
      </w:r>
    </w:p>
    <w:p w14:paraId="01A20349">
      <w:pPr>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维保设备清单如下：</w:t>
      </w:r>
    </w:p>
    <w:tbl>
      <w:tblPr>
        <w:tblStyle w:val="13"/>
        <w:tblW w:w="5025"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6"/>
        <w:gridCol w:w="1453"/>
        <w:gridCol w:w="787"/>
        <w:gridCol w:w="775"/>
        <w:gridCol w:w="976"/>
        <w:gridCol w:w="1238"/>
        <w:gridCol w:w="2410"/>
      </w:tblGrid>
      <w:tr w14:paraId="0956ED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9" w:hRule="atLeast"/>
        </w:trPr>
        <w:tc>
          <w:tcPr>
            <w:tcW w:w="428" w:type="pct"/>
            <w:noWrap w:val="0"/>
            <w:vAlign w:val="center"/>
          </w:tcPr>
          <w:p w14:paraId="4A35A771">
            <w:pPr>
              <w:pStyle w:val="15"/>
              <w:spacing w:before="208" w:line="360" w:lineRule="auto"/>
              <w:jc w:val="center"/>
              <w:rPr>
                <w:rFonts w:hint="eastAsia" w:ascii="宋体" w:hAnsi="宋体" w:eastAsia="宋体" w:cs="宋体"/>
                <w:b w:val="0"/>
                <w:color w:val="auto"/>
                <w:kern w:val="1"/>
                <w:sz w:val="24"/>
                <w:szCs w:val="24"/>
                <w:lang w:val="en-US" w:eastAsia="zh-CN" w:bidi="ar-SA"/>
              </w:rPr>
            </w:pPr>
            <w:r>
              <w:rPr>
                <w:rFonts w:hint="eastAsia" w:ascii="宋体" w:hAnsi="宋体" w:eastAsia="宋体" w:cs="宋体"/>
                <w:b w:val="0"/>
                <w:color w:val="auto"/>
                <w:kern w:val="1"/>
                <w:sz w:val="24"/>
                <w:szCs w:val="24"/>
                <w:lang w:val="en-US" w:eastAsia="zh-CN" w:bidi="ar-SA"/>
              </w:rPr>
              <w:t>序号</w:t>
            </w:r>
          </w:p>
        </w:tc>
        <w:tc>
          <w:tcPr>
            <w:tcW w:w="869" w:type="pct"/>
            <w:noWrap w:val="0"/>
            <w:vAlign w:val="center"/>
          </w:tcPr>
          <w:p w14:paraId="073CA051">
            <w:pPr>
              <w:pStyle w:val="15"/>
              <w:spacing w:before="196" w:line="360" w:lineRule="auto"/>
              <w:jc w:val="center"/>
              <w:rPr>
                <w:rFonts w:hint="eastAsia" w:ascii="宋体" w:hAnsi="宋体" w:eastAsia="宋体" w:cs="宋体"/>
                <w:b w:val="0"/>
                <w:color w:val="auto"/>
                <w:kern w:val="1"/>
                <w:sz w:val="24"/>
                <w:szCs w:val="24"/>
                <w:lang w:val="en-US" w:eastAsia="zh-CN" w:bidi="ar-SA"/>
              </w:rPr>
            </w:pPr>
            <w:r>
              <w:rPr>
                <w:rFonts w:hint="eastAsia" w:ascii="宋体" w:hAnsi="宋体" w:eastAsia="宋体" w:cs="宋体"/>
                <w:b w:val="0"/>
                <w:color w:val="auto"/>
                <w:kern w:val="1"/>
                <w:sz w:val="24"/>
                <w:szCs w:val="24"/>
                <w:lang w:val="en-US" w:eastAsia="zh-CN" w:bidi="ar-SA"/>
              </w:rPr>
              <w:t>设备类型、品牌及规格型号</w:t>
            </w:r>
          </w:p>
        </w:tc>
        <w:tc>
          <w:tcPr>
            <w:tcW w:w="470" w:type="pct"/>
            <w:noWrap w:val="0"/>
            <w:vAlign w:val="center"/>
          </w:tcPr>
          <w:p w14:paraId="3371858E">
            <w:pPr>
              <w:pStyle w:val="15"/>
              <w:spacing w:before="208" w:line="360" w:lineRule="auto"/>
              <w:jc w:val="center"/>
              <w:rPr>
                <w:rFonts w:hint="eastAsia" w:ascii="宋体" w:hAnsi="宋体" w:eastAsia="宋体" w:cs="宋体"/>
                <w:b w:val="0"/>
                <w:color w:val="auto"/>
                <w:kern w:val="1"/>
                <w:sz w:val="24"/>
                <w:szCs w:val="24"/>
                <w:lang w:val="en-US" w:eastAsia="zh-CN" w:bidi="ar-SA"/>
              </w:rPr>
            </w:pPr>
            <w:r>
              <w:rPr>
                <w:rFonts w:hint="eastAsia" w:ascii="宋体" w:hAnsi="宋体" w:eastAsia="宋体" w:cs="宋体"/>
                <w:b w:val="0"/>
                <w:color w:val="auto"/>
                <w:kern w:val="1"/>
                <w:sz w:val="24"/>
                <w:szCs w:val="24"/>
                <w:lang w:val="en-US" w:eastAsia="zh-CN" w:bidi="ar-SA"/>
              </w:rPr>
              <w:t>数量</w:t>
            </w:r>
          </w:p>
        </w:tc>
        <w:tc>
          <w:tcPr>
            <w:tcW w:w="463" w:type="pct"/>
            <w:noWrap w:val="0"/>
            <w:vAlign w:val="center"/>
          </w:tcPr>
          <w:p w14:paraId="461BC45F">
            <w:pPr>
              <w:pStyle w:val="15"/>
              <w:spacing w:before="208" w:line="360" w:lineRule="auto"/>
              <w:jc w:val="center"/>
              <w:rPr>
                <w:rFonts w:hint="eastAsia" w:ascii="宋体" w:hAnsi="宋体" w:eastAsia="宋体" w:cs="宋体"/>
                <w:b w:val="0"/>
                <w:color w:val="auto"/>
                <w:kern w:val="1"/>
                <w:sz w:val="24"/>
                <w:szCs w:val="24"/>
                <w:lang w:val="en-US" w:eastAsia="zh-CN" w:bidi="ar-SA"/>
              </w:rPr>
            </w:pPr>
            <w:r>
              <w:rPr>
                <w:rFonts w:hint="eastAsia" w:ascii="宋体" w:hAnsi="宋体" w:eastAsia="宋体" w:cs="宋体"/>
                <w:b w:val="0"/>
                <w:color w:val="auto"/>
                <w:kern w:val="1"/>
                <w:sz w:val="24"/>
                <w:szCs w:val="24"/>
                <w:lang w:val="en-US" w:eastAsia="zh-CN" w:bidi="ar-SA"/>
              </w:rPr>
              <w:t>单位</w:t>
            </w:r>
          </w:p>
        </w:tc>
        <w:tc>
          <w:tcPr>
            <w:tcW w:w="583" w:type="pct"/>
            <w:noWrap w:val="0"/>
            <w:vAlign w:val="center"/>
          </w:tcPr>
          <w:p w14:paraId="28BEE080">
            <w:pPr>
              <w:pStyle w:val="15"/>
              <w:spacing w:before="208" w:line="360" w:lineRule="auto"/>
              <w:jc w:val="center"/>
              <w:rPr>
                <w:rFonts w:hint="eastAsia" w:ascii="宋体" w:hAnsi="宋体" w:eastAsia="宋体" w:cs="宋体"/>
                <w:b w:val="0"/>
                <w:color w:val="auto"/>
                <w:kern w:val="1"/>
                <w:sz w:val="24"/>
                <w:szCs w:val="24"/>
                <w:lang w:val="en-US" w:eastAsia="zh-CN" w:bidi="ar-SA"/>
              </w:rPr>
            </w:pPr>
            <w:r>
              <w:rPr>
                <w:rFonts w:hint="eastAsia" w:ascii="宋体" w:hAnsi="宋体" w:eastAsia="宋体" w:cs="宋体"/>
                <w:b w:val="0"/>
                <w:color w:val="auto"/>
                <w:kern w:val="1"/>
                <w:sz w:val="24"/>
                <w:szCs w:val="24"/>
                <w:lang w:val="en-US" w:eastAsia="zh-CN" w:bidi="ar-SA"/>
              </w:rPr>
              <w:t>维保服务及时间（年）</w:t>
            </w:r>
          </w:p>
        </w:tc>
        <w:tc>
          <w:tcPr>
            <w:tcW w:w="740" w:type="pct"/>
            <w:noWrap w:val="0"/>
            <w:vAlign w:val="center"/>
          </w:tcPr>
          <w:p w14:paraId="058BA018">
            <w:pPr>
              <w:pStyle w:val="6"/>
              <w:spacing w:line="360" w:lineRule="auto"/>
              <w:ind w:left="0" w:leftChars="0" w:firstLine="0" w:firstLineChars="0"/>
              <w:jc w:val="center"/>
              <w:rPr>
                <w:rFonts w:hint="eastAsia" w:ascii="宋体" w:hAnsi="宋体" w:eastAsia="宋体" w:cs="宋体"/>
                <w:b w:val="0"/>
                <w:color w:val="auto"/>
                <w:kern w:val="1"/>
                <w:sz w:val="24"/>
                <w:szCs w:val="24"/>
                <w:lang w:val="en-US" w:eastAsia="zh-CN" w:bidi="ar-SA"/>
              </w:rPr>
            </w:pPr>
            <w:r>
              <w:rPr>
                <w:rFonts w:hint="eastAsia" w:ascii="宋体" w:hAnsi="宋体" w:eastAsia="宋体" w:cs="宋体"/>
                <w:b w:val="0"/>
                <w:color w:val="auto"/>
                <w:kern w:val="1"/>
                <w:sz w:val="24"/>
                <w:szCs w:val="24"/>
                <w:lang w:val="en-US" w:eastAsia="zh-CN" w:bidi="ar-SA"/>
              </w:rPr>
              <w:t>维保方式</w:t>
            </w:r>
          </w:p>
        </w:tc>
        <w:tc>
          <w:tcPr>
            <w:tcW w:w="1442" w:type="pct"/>
            <w:noWrap w:val="0"/>
            <w:vAlign w:val="center"/>
          </w:tcPr>
          <w:p w14:paraId="153683FB">
            <w:pPr>
              <w:pStyle w:val="6"/>
              <w:spacing w:line="360" w:lineRule="auto"/>
              <w:ind w:left="0" w:leftChars="0" w:firstLine="0" w:firstLineChars="0"/>
              <w:jc w:val="center"/>
              <w:rPr>
                <w:rFonts w:hint="default" w:ascii="宋体" w:hAnsi="宋体" w:eastAsia="宋体" w:cs="宋体"/>
                <w:b w:val="0"/>
                <w:color w:val="auto"/>
                <w:kern w:val="1"/>
                <w:sz w:val="24"/>
                <w:szCs w:val="24"/>
                <w:lang w:val="en-US" w:eastAsia="zh-CN" w:bidi="ar-SA"/>
              </w:rPr>
            </w:pPr>
            <w:r>
              <w:rPr>
                <w:rFonts w:hint="eastAsia" w:ascii="宋体" w:hAnsi="宋体" w:eastAsia="宋体" w:cs="宋体"/>
                <w:b w:val="0"/>
                <w:color w:val="auto"/>
                <w:kern w:val="1"/>
                <w:sz w:val="24"/>
                <w:szCs w:val="24"/>
                <w:lang w:val="en-US" w:eastAsia="zh-CN" w:bidi="ar-SA"/>
              </w:rPr>
              <w:t>维保范围</w:t>
            </w:r>
          </w:p>
        </w:tc>
      </w:tr>
      <w:tr w14:paraId="179291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8" w:hRule="atLeast"/>
        </w:trPr>
        <w:tc>
          <w:tcPr>
            <w:tcW w:w="428" w:type="pct"/>
            <w:noWrap w:val="0"/>
            <w:vAlign w:val="center"/>
          </w:tcPr>
          <w:p w14:paraId="5B114C31">
            <w:pPr>
              <w:pStyle w:val="15"/>
              <w:spacing w:before="208" w:line="360" w:lineRule="auto"/>
              <w:jc w:val="center"/>
              <w:rPr>
                <w:rFonts w:hint="eastAsia" w:ascii="宋体" w:hAnsi="宋体" w:eastAsia="宋体" w:cs="宋体"/>
                <w:b w:val="0"/>
                <w:color w:val="auto"/>
                <w:kern w:val="1"/>
                <w:sz w:val="24"/>
                <w:szCs w:val="24"/>
                <w:lang w:val="en-US" w:eastAsia="zh-CN" w:bidi="ar-SA"/>
              </w:rPr>
            </w:pPr>
            <w:r>
              <w:rPr>
                <w:rFonts w:hint="eastAsia" w:ascii="宋体" w:hAnsi="宋体" w:eastAsia="宋体" w:cs="宋体"/>
                <w:b w:val="0"/>
                <w:color w:val="auto"/>
                <w:kern w:val="1"/>
                <w:sz w:val="24"/>
                <w:szCs w:val="24"/>
                <w:lang w:val="en-US" w:eastAsia="zh-CN" w:bidi="ar-SA"/>
              </w:rPr>
              <w:t>1</w:t>
            </w:r>
          </w:p>
        </w:tc>
        <w:tc>
          <w:tcPr>
            <w:tcW w:w="869" w:type="pct"/>
            <w:noWrap w:val="0"/>
            <w:vAlign w:val="center"/>
          </w:tcPr>
          <w:p w14:paraId="57D45B5E">
            <w:pPr>
              <w:keepNext w:val="0"/>
              <w:keepLines w:val="0"/>
              <w:widowControl/>
              <w:suppressLineNumbers w:val="0"/>
              <w:jc w:val="center"/>
              <w:textAlignment w:val="center"/>
              <w:rPr>
                <w:rFonts w:hint="eastAsia" w:ascii="宋体" w:hAnsi="宋体" w:eastAsia="宋体" w:cs="宋体"/>
                <w:b w:val="0"/>
                <w:color w:val="auto"/>
                <w:kern w:val="1"/>
                <w:sz w:val="24"/>
                <w:szCs w:val="24"/>
                <w:lang w:val="en-US" w:eastAsia="zh-CN" w:bidi="ar-SA"/>
              </w:rPr>
            </w:pPr>
            <w:r>
              <w:rPr>
                <w:rFonts w:hint="eastAsia" w:ascii="宋体" w:hAnsi="宋体" w:eastAsia="宋体" w:cs="宋体"/>
                <w:b w:val="0"/>
                <w:color w:val="auto"/>
                <w:kern w:val="1"/>
                <w:sz w:val="24"/>
                <w:szCs w:val="24"/>
                <w:lang w:val="en-US" w:eastAsia="zh-CN" w:bidi="ar-SA"/>
              </w:rPr>
              <w:t>康养PET-CT Umi 550维保</w:t>
            </w:r>
          </w:p>
        </w:tc>
        <w:tc>
          <w:tcPr>
            <w:tcW w:w="470" w:type="pct"/>
            <w:noWrap w:val="0"/>
            <w:vAlign w:val="center"/>
          </w:tcPr>
          <w:p w14:paraId="6393F38F">
            <w:pPr>
              <w:pStyle w:val="15"/>
              <w:spacing w:before="208" w:line="360" w:lineRule="auto"/>
              <w:jc w:val="center"/>
              <w:rPr>
                <w:rFonts w:hint="eastAsia" w:ascii="宋体" w:hAnsi="宋体" w:eastAsia="宋体" w:cs="宋体"/>
                <w:b w:val="0"/>
                <w:color w:val="auto"/>
                <w:kern w:val="1"/>
                <w:sz w:val="24"/>
                <w:szCs w:val="24"/>
                <w:lang w:val="en-US" w:eastAsia="zh-CN" w:bidi="ar-SA"/>
              </w:rPr>
            </w:pPr>
            <w:r>
              <w:rPr>
                <w:rFonts w:hint="eastAsia" w:ascii="宋体" w:hAnsi="宋体" w:eastAsia="宋体" w:cs="宋体"/>
                <w:b w:val="0"/>
                <w:color w:val="auto"/>
                <w:kern w:val="1"/>
                <w:sz w:val="24"/>
                <w:szCs w:val="24"/>
                <w:lang w:val="en-US" w:eastAsia="zh-CN" w:bidi="ar-SA"/>
              </w:rPr>
              <w:t>1</w:t>
            </w:r>
          </w:p>
        </w:tc>
        <w:tc>
          <w:tcPr>
            <w:tcW w:w="463" w:type="pct"/>
            <w:noWrap w:val="0"/>
            <w:vAlign w:val="center"/>
          </w:tcPr>
          <w:p w14:paraId="259BD6E1">
            <w:pPr>
              <w:spacing w:before="208" w:line="360" w:lineRule="auto"/>
              <w:jc w:val="center"/>
              <w:rPr>
                <w:rFonts w:hint="eastAsia" w:ascii="宋体" w:hAnsi="宋体" w:eastAsia="宋体" w:cs="宋体"/>
                <w:b w:val="0"/>
                <w:color w:val="auto"/>
                <w:kern w:val="1"/>
                <w:sz w:val="24"/>
                <w:szCs w:val="24"/>
                <w:lang w:val="en-US" w:eastAsia="zh-CN" w:bidi="ar-SA"/>
              </w:rPr>
            </w:pPr>
            <w:r>
              <w:rPr>
                <w:rFonts w:hint="eastAsia" w:ascii="宋体" w:hAnsi="宋体" w:eastAsia="宋体" w:cs="宋体"/>
                <w:b w:val="0"/>
                <w:color w:val="auto"/>
                <w:kern w:val="1"/>
                <w:sz w:val="24"/>
                <w:szCs w:val="24"/>
                <w:lang w:val="en-US" w:eastAsia="zh-CN" w:bidi="ar-SA"/>
              </w:rPr>
              <w:t>台</w:t>
            </w:r>
          </w:p>
        </w:tc>
        <w:tc>
          <w:tcPr>
            <w:tcW w:w="583" w:type="pct"/>
            <w:noWrap w:val="0"/>
            <w:vAlign w:val="center"/>
          </w:tcPr>
          <w:p w14:paraId="42DEC440">
            <w:pPr>
              <w:keepNext w:val="0"/>
              <w:keepLines w:val="0"/>
              <w:widowControl/>
              <w:suppressLineNumbers w:val="0"/>
              <w:jc w:val="center"/>
              <w:textAlignment w:val="center"/>
              <w:rPr>
                <w:rFonts w:hint="default" w:ascii="宋体" w:hAnsi="宋体" w:eastAsia="宋体" w:cs="宋体"/>
                <w:b w:val="0"/>
                <w:color w:val="auto"/>
                <w:kern w:val="1"/>
                <w:sz w:val="24"/>
                <w:szCs w:val="24"/>
                <w:lang w:val="en-US" w:eastAsia="zh-CN" w:bidi="ar-SA"/>
              </w:rPr>
            </w:pPr>
            <w:r>
              <w:rPr>
                <w:rFonts w:hint="eastAsia" w:ascii="宋体" w:hAnsi="宋体" w:eastAsia="宋体" w:cs="宋体"/>
                <w:b w:val="0"/>
                <w:color w:val="auto"/>
                <w:kern w:val="1"/>
                <w:sz w:val="24"/>
                <w:szCs w:val="24"/>
                <w:lang w:val="en-US" w:eastAsia="zh-CN" w:bidi="ar-SA"/>
              </w:rPr>
              <w:t>3</w:t>
            </w:r>
          </w:p>
        </w:tc>
        <w:tc>
          <w:tcPr>
            <w:tcW w:w="740" w:type="pct"/>
            <w:noWrap w:val="0"/>
            <w:vAlign w:val="center"/>
          </w:tcPr>
          <w:p w14:paraId="037CC022">
            <w:pPr>
              <w:keepNext w:val="0"/>
              <w:keepLines w:val="0"/>
              <w:widowControl/>
              <w:suppressLineNumbers w:val="0"/>
              <w:jc w:val="center"/>
              <w:textAlignment w:val="center"/>
              <w:rPr>
                <w:rFonts w:hint="eastAsia" w:ascii="宋体" w:hAnsi="宋体" w:eastAsia="宋体" w:cs="宋体"/>
                <w:b w:val="0"/>
                <w:color w:val="auto"/>
                <w:kern w:val="1"/>
                <w:sz w:val="24"/>
                <w:szCs w:val="24"/>
                <w:lang w:val="en-US" w:eastAsia="zh-CN" w:bidi="ar-SA"/>
              </w:rPr>
            </w:pPr>
            <w:r>
              <w:rPr>
                <w:rFonts w:hint="eastAsia" w:ascii="宋体" w:hAnsi="宋体" w:eastAsia="宋体" w:cs="宋体"/>
                <w:b w:val="0"/>
                <w:color w:val="auto"/>
                <w:kern w:val="1"/>
                <w:sz w:val="24"/>
                <w:szCs w:val="24"/>
                <w:lang w:val="en-US" w:eastAsia="zh-CN" w:bidi="ar-SA"/>
              </w:rPr>
              <w:t>全保</w:t>
            </w:r>
          </w:p>
        </w:tc>
        <w:tc>
          <w:tcPr>
            <w:tcW w:w="1442" w:type="pct"/>
            <w:noWrap w:val="0"/>
            <w:vAlign w:val="center"/>
          </w:tcPr>
          <w:p w14:paraId="4D74F6CD">
            <w:pPr>
              <w:keepNext w:val="0"/>
              <w:keepLines w:val="0"/>
              <w:widowControl/>
              <w:suppressLineNumbers w:val="0"/>
              <w:jc w:val="center"/>
              <w:textAlignment w:val="center"/>
              <w:rPr>
                <w:rFonts w:hint="eastAsia" w:ascii="宋体" w:hAnsi="宋体" w:eastAsia="宋体" w:cs="宋体"/>
                <w:b w:val="0"/>
                <w:color w:val="auto"/>
                <w:kern w:val="1"/>
                <w:sz w:val="24"/>
                <w:szCs w:val="24"/>
                <w:lang w:val="en-US" w:eastAsia="zh-CN" w:bidi="ar-SA"/>
              </w:rPr>
            </w:pPr>
            <w:r>
              <w:rPr>
                <w:rFonts w:hint="eastAsia" w:ascii="宋体" w:hAnsi="宋体" w:eastAsia="宋体" w:cs="宋体"/>
                <w:b w:val="0"/>
                <w:color w:val="auto"/>
                <w:kern w:val="1"/>
                <w:sz w:val="24"/>
                <w:szCs w:val="24"/>
                <w:lang w:val="en-US" w:eastAsia="zh-CN" w:bidi="ar-SA"/>
              </w:rPr>
              <w:t>包含人工服务，软件升级、所有配件（包含PET探测器，球管，高压部分、CT探测器等所有部件）。</w:t>
            </w:r>
          </w:p>
        </w:tc>
      </w:tr>
    </w:tbl>
    <w:p w14:paraId="1F204937">
      <w:pPr>
        <w:spacing w:line="360" w:lineRule="auto"/>
        <w:ind w:firstLine="480" w:firstLineChars="200"/>
        <w:rPr>
          <w:rFonts w:hint="eastAsia"/>
          <w:bCs/>
          <w:color w:val="auto"/>
          <w:sz w:val="24"/>
          <w:lang w:val="en-US" w:eastAsia="zh-CN"/>
        </w:rPr>
      </w:pPr>
      <w:r>
        <w:rPr>
          <w:rFonts w:hint="eastAsia"/>
          <w:bCs/>
          <w:color w:val="auto"/>
          <w:sz w:val="24"/>
          <w:lang w:val="en-US" w:eastAsia="zh-CN"/>
        </w:rPr>
        <w:t>维保服务报价包括：所有</w:t>
      </w:r>
      <w:r>
        <w:rPr>
          <w:rFonts w:hint="eastAsia"/>
          <w:bCs/>
          <w:color w:val="auto"/>
          <w:sz w:val="24"/>
        </w:rPr>
        <w:t>人工</w:t>
      </w:r>
      <w:r>
        <w:rPr>
          <w:rFonts w:hint="eastAsia"/>
          <w:bCs/>
          <w:color w:val="auto"/>
          <w:sz w:val="24"/>
          <w:lang w:eastAsia="zh-CN"/>
        </w:rPr>
        <w:t>、</w:t>
      </w:r>
      <w:r>
        <w:rPr>
          <w:rFonts w:hint="eastAsia"/>
          <w:bCs/>
          <w:color w:val="auto"/>
          <w:sz w:val="24"/>
        </w:rPr>
        <w:t>常规耗材、维修所有配件</w:t>
      </w:r>
      <w:r>
        <w:rPr>
          <w:rFonts w:hint="eastAsia"/>
          <w:bCs/>
          <w:color w:val="auto"/>
          <w:sz w:val="24"/>
          <w:lang w:eastAsia="zh-CN"/>
        </w:rPr>
        <w:t>、</w:t>
      </w:r>
      <w:r>
        <w:rPr>
          <w:rFonts w:hint="eastAsia"/>
          <w:bCs/>
          <w:color w:val="auto"/>
          <w:sz w:val="24"/>
          <w:lang w:val="en-US" w:eastAsia="zh-CN"/>
        </w:rPr>
        <w:t>定期巡检、维护保养所需配件等所有费用。</w:t>
      </w:r>
    </w:p>
    <w:p w14:paraId="09467B53">
      <w:pPr>
        <w:rPr>
          <w:rFonts w:hint="eastAsia" w:ascii="仿宋" w:hAnsi="仿宋" w:eastAsia="仿宋" w:cs="仿宋"/>
          <w:b/>
          <w:bCs/>
          <w:color w:val="auto"/>
          <w:sz w:val="28"/>
          <w:szCs w:val="28"/>
        </w:rPr>
      </w:pPr>
    </w:p>
    <w:p w14:paraId="360FDE2E">
      <w:pPr>
        <w:rPr>
          <w:rFonts w:hint="eastAsia" w:ascii="仿宋" w:hAnsi="仿宋" w:eastAsia="仿宋" w:cs="仿宋"/>
          <w:color w:val="auto"/>
          <w:sz w:val="28"/>
          <w:szCs w:val="28"/>
        </w:rPr>
      </w:pPr>
      <w:r>
        <w:rPr>
          <w:rFonts w:hint="eastAsia" w:ascii="仿宋" w:hAnsi="仿宋" w:eastAsia="仿宋" w:cs="仿宋"/>
          <w:b/>
          <w:bCs/>
          <w:color w:val="auto"/>
          <w:sz w:val="28"/>
          <w:szCs w:val="28"/>
        </w:rPr>
        <w:t>（二）</w:t>
      </w:r>
      <w:r>
        <w:rPr>
          <w:rFonts w:hint="eastAsia" w:ascii="仿宋" w:hAnsi="仿宋" w:eastAsia="仿宋" w:cs="仿宋"/>
          <w:b/>
          <w:bCs/>
          <w:color w:val="auto"/>
          <w:sz w:val="28"/>
          <w:szCs w:val="28"/>
          <w:lang w:val="en-US" w:eastAsia="zh-CN"/>
        </w:rPr>
        <w:t>供应商</w:t>
      </w:r>
      <w:r>
        <w:rPr>
          <w:rFonts w:hint="eastAsia" w:ascii="仿宋" w:hAnsi="仿宋" w:eastAsia="仿宋" w:cs="仿宋"/>
          <w:b/>
          <w:bCs/>
          <w:color w:val="auto"/>
          <w:sz w:val="28"/>
          <w:szCs w:val="28"/>
        </w:rPr>
        <w:t>资格要求</w:t>
      </w:r>
    </w:p>
    <w:p w14:paraId="509EF788">
      <w:pPr>
        <w:ind w:left="0" w:leftChars="0" w:firstLine="638" w:firstLineChars="228"/>
        <w:rPr>
          <w:rFonts w:hint="eastAsia" w:ascii="仿宋" w:hAnsi="仿宋" w:eastAsia="仿宋" w:cs="仿宋"/>
          <w:color w:val="auto"/>
          <w:sz w:val="28"/>
          <w:szCs w:val="28"/>
        </w:rPr>
      </w:pPr>
      <w:r>
        <w:rPr>
          <w:rFonts w:hint="eastAsia" w:ascii="仿宋" w:hAnsi="仿宋" w:eastAsia="仿宋" w:cs="仿宋"/>
          <w:color w:val="auto"/>
          <w:sz w:val="28"/>
          <w:szCs w:val="28"/>
        </w:rPr>
        <w:t>符合《中华人民共和国政府采购法》第二十二条规定的条件；</w:t>
      </w:r>
    </w:p>
    <w:p w14:paraId="1504568A">
      <w:pPr>
        <w:ind w:left="0" w:leftChars="0" w:firstLine="638" w:firstLineChars="228"/>
        <w:rPr>
          <w:rFonts w:hint="eastAsia" w:ascii="仿宋" w:hAnsi="仿宋" w:eastAsia="仿宋" w:cs="仿宋"/>
          <w:color w:val="auto"/>
          <w:sz w:val="28"/>
          <w:szCs w:val="28"/>
        </w:rPr>
      </w:pPr>
      <w:r>
        <w:rPr>
          <w:rFonts w:hint="eastAsia" w:ascii="仿宋" w:hAnsi="仿宋" w:eastAsia="仿宋" w:cs="仿宋"/>
          <w:color w:val="auto"/>
          <w:sz w:val="28"/>
          <w:szCs w:val="28"/>
        </w:rPr>
        <w:t>1.具有独立承担民事责任的能力；</w:t>
      </w:r>
    </w:p>
    <w:p w14:paraId="3A4BA9D1">
      <w:pPr>
        <w:ind w:left="0" w:leftChars="0" w:firstLine="638" w:firstLineChars="228"/>
        <w:rPr>
          <w:rFonts w:hint="eastAsia" w:ascii="仿宋" w:hAnsi="仿宋" w:eastAsia="仿宋" w:cs="仿宋"/>
          <w:color w:val="auto"/>
          <w:sz w:val="28"/>
          <w:szCs w:val="28"/>
        </w:rPr>
      </w:pPr>
      <w:r>
        <w:rPr>
          <w:rFonts w:hint="eastAsia" w:ascii="仿宋" w:hAnsi="仿宋" w:eastAsia="仿宋" w:cs="仿宋"/>
          <w:color w:val="auto"/>
          <w:sz w:val="28"/>
          <w:szCs w:val="28"/>
        </w:rPr>
        <w:t>2.具有良好的商业信誉和健全的财务会计制度；</w:t>
      </w:r>
    </w:p>
    <w:p w14:paraId="7D39CEBC">
      <w:pPr>
        <w:ind w:left="0" w:leftChars="0" w:firstLine="638" w:firstLineChars="228"/>
        <w:rPr>
          <w:rFonts w:hint="eastAsia" w:ascii="仿宋" w:hAnsi="仿宋" w:eastAsia="仿宋" w:cs="仿宋"/>
          <w:color w:val="auto"/>
          <w:sz w:val="28"/>
          <w:szCs w:val="28"/>
        </w:rPr>
      </w:pPr>
      <w:r>
        <w:rPr>
          <w:rFonts w:hint="eastAsia" w:ascii="仿宋" w:hAnsi="仿宋" w:eastAsia="仿宋" w:cs="仿宋"/>
          <w:color w:val="auto"/>
          <w:sz w:val="28"/>
          <w:szCs w:val="28"/>
        </w:rPr>
        <w:t>3.具有履行合同所必须的设备和专业技术能力；</w:t>
      </w:r>
    </w:p>
    <w:p w14:paraId="72DEA345">
      <w:pPr>
        <w:ind w:left="0" w:leftChars="0" w:firstLine="638" w:firstLineChars="228"/>
        <w:rPr>
          <w:rFonts w:hint="eastAsia" w:ascii="仿宋" w:hAnsi="仿宋" w:eastAsia="仿宋" w:cs="仿宋"/>
          <w:color w:val="auto"/>
          <w:sz w:val="28"/>
          <w:szCs w:val="28"/>
        </w:rPr>
      </w:pPr>
      <w:r>
        <w:rPr>
          <w:rFonts w:hint="eastAsia" w:ascii="仿宋" w:hAnsi="仿宋" w:eastAsia="仿宋" w:cs="仿宋"/>
          <w:color w:val="auto"/>
          <w:sz w:val="28"/>
          <w:szCs w:val="28"/>
        </w:rPr>
        <w:t>4.具有依法缴纳税收和社会保障资金的良好记录；</w:t>
      </w:r>
    </w:p>
    <w:p w14:paraId="5D71EC3A">
      <w:pPr>
        <w:ind w:left="0" w:leftChars="0" w:firstLine="638" w:firstLineChars="228"/>
        <w:rPr>
          <w:rFonts w:hint="eastAsia" w:ascii="仿宋" w:hAnsi="仿宋" w:eastAsia="仿宋" w:cs="仿宋"/>
          <w:color w:val="auto"/>
          <w:sz w:val="28"/>
          <w:szCs w:val="28"/>
        </w:rPr>
      </w:pPr>
      <w:r>
        <w:rPr>
          <w:rFonts w:hint="eastAsia" w:ascii="仿宋" w:hAnsi="仿宋" w:eastAsia="仿宋" w:cs="仿宋"/>
          <w:color w:val="auto"/>
          <w:sz w:val="28"/>
          <w:szCs w:val="28"/>
        </w:rPr>
        <w:t>5.参加本次政府采购活动前三年内，在经营活动中没有重大违法记录；</w:t>
      </w:r>
    </w:p>
    <w:p w14:paraId="6DFFBEFF">
      <w:pPr>
        <w:ind w:left="0" w:leftChars="0" w:firstLine="638" w:firstLineChars="228"/>
        <w:rPr>
          <w:rFonts w:hint="eastAsia" w:ascii="仿宋" w:hAnsi="仿宋" w:eastAsia="仿宋" w:cs="仿宋"/>
          <w:color w:val="auto"/>
          <w:sz w:val="28"/>
          <w:szCs w:val="28"/>
          <w:lang w:eastAsia="zh-CN"/>
        </w:rPr>
      </w:pPr>
      <w:r>
        <w:rPr>
          <w:rFonts w:hint="eastAsia" w:ascii="仿宋" w:hAnsi="仿宋" w:eastAsia="仿宋" w:cs="仿宋"/>
          <w:color w:val="auto"/>
          <w:sz w:val="28"/>
          <w:szCs w:val="28"/>
        </w:rPr>
        <w:t>6.符合法律、行政法规规定的其他条件</w:t>
      </w:r>
      <w:r>
        <w:rPr>
          <w:rFonts w:hint="eastAsia" w:ascii="仿宋" w:hAnsi="仿宋" w:eastAsia="仿宋" w:cs="仿宋"/>
          <w:color w:val="auto"/>
          <w:sz w:val="28"/>
          <w:szCs w:val="28"/>
          <w:lang w:eastAsia="zh-CN"/>
        </w:rPr>
        <w:t>。</w:t>
      </w:r>
    </w:p>
    <w:p w14:paraId="5A6B3C9B">
      <w:pPr>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（三）现场勘察时间：无。</w:t>
      </w:r>
    </w:p>
    <w:p w14:paraId="79124DC3">
      <w:pPr>
        <w:rPr>
          <w:rFonts w:hint="default" w:ascii="仿宋" w:hAnsi="仿宋" w:eastAsia="仿宋" w:cs="仿宋"/>
          <w:color w:val="auto"/>
          <w:sz w:val="28"/>
          <w:szCs w:val="28"/>
          <w:lang w:val="en-US" w:eastAsia="zh-CN"/>
        </w:rPr>
      </w:pPr>
      <w:r>
        <w:rPr>
          <w:rFonts w:hint="eastAsia" w:ascii="仿宋" w:hAnsi="仿宋" w:eastAsia="仿宋" w:cs="仿宋"/>
          <w:b/>
          <w:bCs/>
          <w:color w:val="auto"/>
          <w:sz w:val="28"/>
          <w:szCs w:val="28"/>
          <w:lang w:val="en-US" w:eastAsia="zh-CN"/>
        </w:rPr>
        <w:t>（四）调研文件送达要求</w:t>
      </w:r>
      <w:r>
        <w:rPr>
          <w:rFonts w:hint="eastAsia" w:ascii="仿宋" w:hAnsi="仿宋" w:eastAsia="仿宋" w:cs="仿宋"/>
          <w:color w:val="auto"/>
          <w:sz w:val="28"/>
          <w:szCs w:val="28"/>
          <w:lang w:val="en-US" w:eastAsia="zh-CN"/>
        </w:rPr>
        <w:t>：</w:t>
      </w:r>
    </w:p>
    <w:p w14:paraId="5C1F0020">
      <w:pPr>
        <w:ind w:left="0" w:leftChars="0" w:firstLine="638" w:firstLineChars="228"/>
        <w:jc w:val="left"/>
        <w:rPr>
          <w:rFonts w:hint="default" w:ascii="仿宋" w:hAnsi="仿宋" w:eastAsia="仿宋" w:cs="仿宋"/>
          <w:color w:val="auto"/>
          <w:sz w:val="28"/>
          <w:szCs w:val="28"/>
          <w:lang w:val="en-US" w:eastAsia="zh-CN"/>
        </w:rPr>
      </w:pPr>
      <w:bookmarkStart w:id="0" w:name="_GoBack"/>
      <w:r>
        <w:rPr>
          <w:rFonts w:hint="eastAsia" w:ascii="仿宋" w:hAnsi="仿宋" w:eastAsia="仿宋" w:cs="仿宋"/>
          <w:color w:val="auto"/>
          <w:sz w:val="28"/>
          <w:szCs w:val="28"/>
        </w:rPr>
        <w:t>调研活动的供应商于202</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12</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日至202</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12</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rPr>
        <w:t>日（上午9:00-12:00下午2:30-</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:00）内按照我方要求将调研申请文件递交至</w:t>
      </w:r>
      <w:r>
        <w:rPr>
          <w:rFonts w:hint="eastAsia" w:ascii="仿宋" w:hAnsi="仿宋" w:eastAsia="仿宋" w:cs="仿宋"/>
          <w:color w:val="auto"/>
          <w:sz w:val="28"/>
          <w:szCs w:val="28"/>
          <w:lang w:val="en-US" w:eastAsia="zh-CN"/>
        </w:rPr>
        <w:t>四川全诚招标代理有限公司，</w:t>
      </w:r>
      <w:r>
        <w:rPr>
          <w:rFonts w:hint="eastAsia" w:ascii="仿宋" w:hAnsi="仿宋" w:eastAsia="仿宋" w:cs="仿宋"/>
          <w:color w:val="auto"/>
          <w:sz w:val="28"/>
          <w:szCs w:val="28"/>
        </w:rPr>
        <w:t>本次调研申请文件</w:t>
      </w:r>
      <w:r>
        <w:rPr>
          <w:rFonts w:hint="eastAsia" w:ascii="仿宋" w:hAnsi="仿宋" w:eastAsia="仿宋" w:cs="仿宋"/>
          <w:color w:val="auto"/>
          <w:sz w:val="28"/>
          <w:szCs w:val="28"/>
          <w:lang w:val="en-US" w:eastAsia="zh-CN"/>
        </w:rPr>
        <w:t>递交方式为两种，邮箱递交</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请</w:t>
      </w:r>
      <w:r>
        <w:rPr>
          <w:rFonts w:hint="eastAsia" w:ascii="仿宋" w:hAnsi="仿宋" w:eastAsia="仿宋" w:cs="仿宋"/>
          <w:color w:val="auto"/>
          <w:sz w:val="28"/>
          <w:szCs w:val="28"/>
        </w:rPr>
        <w:t>邮箱发送至quancheng0511@163.com</w:t>
      </w:r>
      <w:r>
        <w:rPr>
          <w:rFonts w:hint="eastAsia" w:ascii="仿宋" w:hAnsi="仿宋" w:eastAsia="仿宋" w:cs="仿宋"/>
          <w:color w:val="auto"/>
          <w:sz w:val="28"/>
          <w:szCs w:val="28"/>
          <w:lang w:val="en-US" w:eastAsia="zh-CN"/>
        </w:rPr>
        <w:t>（注：使</w:t>
      </w:r>
      <w:r>
        <w:rPr>
          <w:rFonts w:hint="eastAsia" w:ascii="仿宋" w:hAnsi="仿宋" w:eastAsia="仿宋" w:cs="仿宋"/>
          <w:color w:val="auto"/>
          <w:sz w:val="28"/>
          <w:szCs w:val="28"/>
        </w:rPr>
        <w:t>用邮箱发送的调研申请文件需为盖章版扫描件）</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现场递交的，请将纸质原件（加盖供应商鲜章）递交至</w:t>
      </w:r>
      <w:r>
        <w:rPr>
          <w:rFonts w:hint="eastAsia" w:ascii="仿宋" w:hAnsi="仿宋" w:eastAsia="仿宋" w:cs="仿宋"/>
          <w:color w:val="auto"/>
          <w:sz w:val="28"/>
          <w:szCs w:val="28"/>
          <w:lang w:eastAsia="zh-CN"/>
        </w:rPr>
        <w:t>四川全诚招标代理有限公司</w:t>
      </w:r>
      <w:r>
        <w:rPr>
          <w:rFonts w:hint="eastAsia" w:ascii="仿宋" w:hAnsi="仿宋" w:eastAsia="仿宋" w:cs="仿宋"/>
          <w:color w:val="auto"/>
          <w:sz w:val="28"/>
          <w:szCs w:val="28"/>
          <w:lang w:val="en-US" w:eastAsia="zh-CN"/>
        </w:rPr>
        <w:t>。</w:t>
      </w:r>
    </w:p>
    <w:p w14:paraId="0D445E00">
      <w:pPr>
        <w:ind w:left="0" w:leftChars="0" w:firstLine="638" w:firstLineChars="228"/>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联系人：</w:t>
      </w:r>
      <w:r>
        <w:rPr>
          <w:rFonts w:hint="eastAsia" w:ascii="仿宋" w:hAnsi="仿宋" w:eastAsia="仿宋" w:cs="仿宋"/>
          <w:color w:val="auto"/>
          <w:sz w:val="28"/>
          <w:szCs w:val="28"/>
          <w:lang w:val="en-US" w:eastAsia="zh-CN"/>
        </w:rPr>
        <w:t>张女士</w:t>
      </w:r>
    </w:p>
    <w:p w14:paraId="453A8601">
      <w:pPr>
        <w:ind w:left="0" w:leftChars="0" w:firstLine="638" w:firstLineChars="228"/>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联系电话：</w:t>
      </w:r>
      <w:r>
        <w:rPr>
          <w:rFonts w:hint="eastAsia" w:ascii="仿宋" w:hAnsi="仿宋" w:eastAsia="仿宋" w:cs="仿宋"/>
          <w:color w:val="auto"/>
          <w:sz w:val="28"/>
          <w:szCs w:val="28"/>
          <w:lang w:val="en-US" w:eastAsia="zh-CN"/>
        </w:rPr>
        <w:t>0834-8220508</w:t>
      </w:r>
    </w:p>
    <w:p w14:paraId="0C0AE2B8">
      <w:pPr>
        <w:ind w:left="0" w:leftChars="0" w:firstLine="638" w:firstLineChars="228"/>
        <w:rPr>
          <w:rFonts w:hint="eastAsia" w:ascii="仿宋" w:hAnsi="仿宋" w:eastAsia="仿宋" w:cs="仿宋"/>
          <w:color w:val="auto"/>
          <w:sz w:val="28"/>
          <w:szCs w:val="28"/>
        </w:rPr>
      </w:pPr>
      <w:r>
        <w:rPr>
          <w:rFonts w:hint="eastAsia" w:ascii="仿宋" w:hAnsi="仿宋" w:eastAsia="仿宋" w:cs="仿宋"/>
          <w:color w:val="auto"/>
          <w:sz w:val="28"/>
          <w:szCs w:val="28"/>
        </w:rPr>
        <w:t>注：以上</w:t>
      </w:r>
      <w:r>
        <w:rPr>
          <w:rFonts w:hint="eastAsia" w:ascii="仿宋" w:hAnsi="仿宋" w:eastAsia="仿宋" w:cs="仿宋"/>
          <w:color w:val="auto"/>
          <w:sz w:val="28"/>
          <w:szCs w:val="28"/>
          <w:lang w:val="en-US" w:eastAsia="zh-CN"/>
        </w:rPr>
        <w:t>两</w:t>
      </w:r>
      <w:r>
        <w:rPr>
          <w:rFonts w:hint="eastAsia" w:ascii="仿宋" w:hAnsi="仿宋" w:eastAsia="仿宋" w:cs="仿宋"/>
          <w:color w:val="auto"/>
          <w:sz w:val="28"/>
          <w:szCs w:val="28"/>
        </w:rPr>
        <w:t>种</w:t>
      </w:r>
      <w:r>
        <w:rPr>
          <w:rFonts w:hint="eastAsia" w:ascii="仿宋" w:hAnsi="仿宋" w:eastAsia="仿宋" w:cs="仿宋"/>
          <w:color w:val="auto"/>
          <w:sz w:val="28"/>
          <w:szCs w:val="28"/>
          <w:lang w:val="en-US" w:eastAsia="zh-CN"/>
        </w:rPr>
        <w:t>参与</w:t>
      </w:r>
      <w:r>
        <w:rPr>
          <w:rFonts w:hint="eastAsia" w:ascii="仿宋" w:hAnsi="仿宋" w:eastAsia="仿宋" w:cs="仿宋"/>
          <w:color w:val="auto"/>
          <w:sz w:val="28"/>
          <w:szCs w:val="28"/>
        </w:rPr>
        <w:t>方式均需要提供供应商营业执照复印件、供应商单位介绍信原件（介绍信附注联系人电话及邮箱）及</w:t>
      </w:r>
      <w:r>
        <w:rPr>
          <w:rFonts w:hint="eastAsia" w:ascii="仿宋" w:hAnsi="仿宋" w:eastAsia="仿宋" w:cs="仿宋"/>
          <w:color w:val="auto"/>
          <w:sz w:val="28"/>
          <w:szCs w:val="28"/>
          <w:lang w:val="en-US" w:eastAsia="zh-CN"/>
        </w:rPr>
        <w:t>联系</w:t>
      </w:r>
      <w:r>
        <w:rPr>
          <w:rFonts w:hint="eastAsia" w:ascii="仿宋" w:hAnsi="仿宋" w:eastAsia="仿宋" w:cs="仿宋"/>
          <w:color w:val="auto"/>
          <w:sz w:val="28"/>
          <w:szCs w:val="28"/>
        </w:rPr>
        <w:t>人身份证正反面复印件[加盖供应商单位公章（鲜章）]。</w:t>
      </w:r>
    </w:p>
    <w:p w14:paraId="283BCF0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textAlignment w:val="baseline"/>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（五）、调研申请文件要求：</w:t>
      </w:r>
    </w:p>
    <w:p w14:paraId="645C22A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44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kern w:val="2"/>
          <w:sz w:val="28"/>
          <w:szCs w:val="28"/>
          <w:lang w:val="en-US" w:eastAsia="zh-CN" w:bidi="ar-SA"/>
        </w:rPr>
        <w:t>调研申请文件需包含：1、营业执照；2法定代表人委托书；3、</w:t>
      </w:r>
      <w:bookmarkEnd w:id="0"/>
      <w:r>
        <w:rPr>
          <w:rFonts w:hint="eastAsia" w:ascii="仿宋" w:hAnsi="仿宋" w:eastAsia="仿宋" w:cs="仿宋"/>
          <w:color w:val="auto"/>
          <w:kern w:val="2"/>
          <w:sz w:val="28"/>
          <w:szCs w:val="28"/>
          <w:lang w:val="en-US" w:eastAsia="zh-CN" w:bidi="ar-SA"/>
        </w:rPr>
        <w:t>服务要求；4、报价；5、商务条款；6、履约验收方案、7、参加调研供应商是否为中小企业（提供中小企业声明函详见市场调研表）等，供应商认为与本次调研项目有关的履约验收方案资料由供应商自行提供。</w:t>
      </w:r>
    </w:p>
    <w:p w14:paraId="480461B3">
      <w:pPr>
        <w:jc w:val="center"/>
        <w:rPr>
          <w:rFonts w:hint="eastAsia" w:ascii="仿宋" w:hAnsi="仿宋" w:eastAsia="仿宋" w:cs="仿宋"/>
          <w:color w:val="auto"/>
          <w:sz w:val="28"/>
          <w:szCs w:val="28"/>
          <w:lang w:val="en-US" w:eastAsia="zh-CN"/>
        </w:rPr>
      </w:pPr>
    </w:p>
    <w:p w14:paraId="66A78E75">
      <w:pPr>
        <w:jc w:val="right"/>
        <w:rPr>
          <w:rFonts w:hint="default"/>
          <w:color w:val="auto"/>
          <w:lang w:val="en-US"/>
        </w:rPr>
      </w:pPr>
      <w:r>
        <w:rPr>
          <w:rFonts w:hint="eastAsia" w:ascii="仿宋" w:hAnsi="仿宋" w:eastAsia="仿宋" w:cs="仿宋"/>
          <w:color w:val="auto"/>
          <w:sz w:val="28"/>
          <w:szCs w:val="28"/>
          <w:lang w:val="en-US" w:eastAsia="zh-CN"/>
        </w:rPr>
        <w:t>2025年12月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VhY2M2N2RjNGM5ZDE4ZjY0ZDM1MmNmNjMyYjM1ODgifQ=="/>
  </w:docVars>
  <w:rsids>
    <w:rsidRoot w:val="5A192471"/>
    <w:rsid w:val="012634A2"/>
    <w:rsid w:val="0138166C"/>
    <w:rsid w:val="02550F58"/>
    <w:rsid w:val="03103BAE"/>
    <w:rsid w:val="05663C6F"/>
    <w:rsid w:val="06443275"/>
    <w:rsid w:val="06F24CFF"/>
    <w:rsid w:val="07F05D6A"/>
    <w:rsid w:val="085546C8"/>
    <w:rsid w:val="0961519A"/>
    <w:rsid w:val="0AAF5095"/>
    <w:rsid w:val="0AC34A90"/>
    <w:rsid w:val="0B0C55A3"/>
    <w:rsid w:val="0B1C3A38"/>
    <w:rsid w:val="0FC610FD"/>
    <w:rsid w:val="12AB3B55"/>
    <w:rsid w:val="12D0134B"/>
    <w:rsid w:val="130A686C"/>
    <w:rsid w:val="134B2E23"/>
    <w:rsid w:val="13E56C70"/>
    <w:rsid w:val="147A1458"/>
    <w:rsid w:val="15934B12"/>
    <w:rsid w:val="181819C7"/>
    <w:rsid w:val="18A52F64"/>
    <w:rsid w:val="1A195792"/>
    <w:rsid w:val="1ABA0B77"/>
    <w:rsid w:val="1BB6133F"/>
    <w:rsid w:val="1CB56661"/>
    <w:rsid w:val="1CF10155"/>
    <w:rsid w:val="1E2C28B5"/>
    <w:rsid w:val="1F525822"/>
    <w:rsid w:val="2038524E"/>
    <w:rsid w:val="22347461"/>
    <w:rsid w:val="26480ADD"/>
    <w:rsid w:val="26AF5308"/>
    <w:rsid w:val="276E08C0"/>
    <w:rsid w:val="28996270"/>
    <w:rsid w:val="2A45488D"/>
    <w:rsid w:val="2AC06945"/>
    <w:rsid w:val="2CE33F5E"/>
    <w:rsid w:val="2D1F11F5"/>
    <w:rsid w:val="2FD16645"/>
    <w:rsid w:val="30717AD3"/>
    <w:rsid w:val="30CD1601"/>
    <w:rsid w:val="31D15242"/>
    <w:rsid w:val="33AB6E58"/>
    <w:rsid w:val="342D2A38"/>
    <w:rsid w:val="34EF6A10"/>
    <w:rsid w:val="351D3D85"/>
    <w:rsid w:val="36C721FA"/>
    <w:rsid w:val="3749213D"/>
    <w:rsid w:val="38CE659A"/>
    <w:rsid w:val="395D7A19"/>
    <w:rsid w:val="3A0D43C8"/>
    <w:rsid w:val="3B4B47A2"/>
    <w:rsid w:val="3D5831EA"/>
    <w:rsid w:val="3DCE20C0"/>
    <w:rsid w:val="3E265A58"/>
    <w:rsid w:val="3E302C87"/>
    <w:rsid w:val="3F177AA8"/>
    <w:rsid w:val="40BE01CA"/>
    <w:rsid w:val="41126927"/>
    <w:rsid w:val="41856683"/>
    <w:rsid w:val="41911D83"/>
    <w:rsid w:val="44B813D4"/>
    <w:rsid w:val="44E623E5"/>
    <w:rsid w:val="4588349D"/>
    <w:rsid w:val="48B8579C"/>
    <w:rsid w:val="49C97F2E"/>
    <w:rsid w:val="500F3B53"/>
    <w:rsid w:val="51453FF0"/>
    <w:rsid w:val="530565D7"/>
    <w:rsid w:val="539F3202"/>
    <w:rsid w:val="53A74089"/>
    <w:rsid w:val="54FC2A5F"/>
    <w:rsid w:val="55A7090F"/>
    <w:rsid w:val="56484147"/>
    <w:rsid w:val="58001849"/>
    <w:rsid w:val="59CA78ED"/>
    <w:rsid w:val="5A192471"/>
    <w:rsid w:val="5D87497E"/>
    <w:rsid w:val="60DC3129"/>
    <w:rsid w:val="617A375E"/>
    <w:rsid w:val="631F286B"/>
    <w:rsid w:val="635A407B"/>
    <w:rsid w:val="64CB0779"/>
    <w:rsid w:val="65F7686C"/>
    <w:rsid w:val="67056041"/>
    <w:rsid w:val="68FC4D7F"/>
    <w:rsid w:val="6BCC3834"/>
    <w:rsid w:val="6C3950C3"/>
    <w:rsid w:val="705D0EFE"/>
    <w:rsid w:val="70E611B1"/>
    <w:rsid w:val="713F48D1"/>
    <w:rsid w:val="71F92EA9"/>
    <w:rsid w:val="734C1CDF"/>
    <w:rsid w:val="735E2AFA"/>
    <w:rsid w:val="73A3131E"/>
    <w:rsid w:val="73E816B9"/>
    <w:rsid w:val="747F6FF7"/>
    <w:rsid w:val="74F16D12"/>
    <w:rsid w:val="7879264D"/>
    <w:rsid w:val="7908404B"/>
    <w:rsid w:val="7A9E1BD4"/>
    <w:rsid w:val="7AE03A8A"/>
    <w:rsid w:val="7D7358BD"/>
    <w:rsid w:val="7DCC36C2"/>
    <w:rsid w:val="7DE30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1"/>
    <w:pPr>
      <w:spacing w:before="265"/>
      <w:ind w:left="147"/>
      <w:outlineLvl w:val="0"/>
    </w:pPr>
    <w:rPr>
      <w:sz w:val="36"/>
      <w:szCs w:val="36"/>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widowControl/>
      <w:spacing w:line="360" w:lineRule="auto"/>
    </w:pPr>
    <w:rPr>
      <w:color w:val="FF0000"/>
    </w:rPr>
  </w:style>
  <w:style w:type="paragraph" w:styleId="4">
    <w:name w:val="Normal Indent"/>
    <w:basedOn w:val="1"/>
    <w:qFormat/>
    <w:uiPriority w:val="0"/>
    <w:pPr>
      <w:widowControl/>
      <w:ind w:firstLine="420" w:firstLineChars="200"/>
      <w:jc w:val="left"/>
    </w:pPr>
    <w:rPr>
      <w:rFonts w:ascii="Calibri" w:hAnsi="Calibri" w:eastAsia="宋体"/>
      <w:sz w:val="24"/>
      <w:szCs w:val="24"/>
    </w:rPr>
  </w:style>
  <w:style w:type="paragraph" w:styleId="5">
    <w:name w:val="annotation text"/>
    <w:basedOn w:val="1"/>
    <w:qFormat/>
    <w:uiPriority w:val="0"/>
    <w:pPr>
      <w:jc w:val="left"/>
    </w:pPr>
  </w:style>
  <w:style w:type="paragraph" w:styleId="6">
    <w:name w:val="Body Text Indent 2"/>
    <w:basedOn w:val="1"/>
    <w:next w:val="7"/>
    <w:qFormat/>
    <w:uiPriority w:val="0"/>
    <w:pPr>
      <w:spacing w:after="120" w:afterLines="0" w:line="480" w:lineRule="auto"/>
      <w:ind w:left="420" w:leftChars="200"/>
    </w:pPr>
  </w:style>
  <w:style w:type="paragraph" w:customStyle="1" w:styleId="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8">
    <w:name w:val="footer"/>
    <w:basedOn w:val="1"/>
    <w:qFormat/>
    <w:uiPriority w:val="0"/>
    <w:pPr>
      <w:tabs>
        <w:tab w:val="center" w:pos="4153"/>
        <w:tab w:val="right" w:pos="8306"/>
      </w:tabs>
      <w:snapToGrid w:val="0"/>
      <w:jc w:val="left"/>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3">
    <w:name w:val="Table Normal"/>
    <w:semiHidden/>
    <w:unhideWhenUsed/>
    <w:qFormat/>
    <w:uiPriority w:val="0"/>
    <w:tblPr>
      <w:tblCellMar>
        <w:top w:w="0" w:type="dxa"/>
        <w:left w:w="0" w:type="dxa"/>
        <w:bottom w:w="0" w:type="dxa"/>
        <w:right w:w="0" w:type="dxa"/>
      </w:tblCellMar>
    </w:tblPr>
  </w:style>
  <w:style w:type="character" w:customStyle="1" w:styleId="14">
    <w:name w:val="NormalCharacter"/>
    <w:qFormat/>
    <w:uiPriority w:val="0"/>
    <w:rPr>
      <w:kern w:val="2"/>
      <w:sz w:val="21"/>
      <w:szCs w:val="24"/>
      <w:lang w:val="en-US" w:eastAsia="zh-CN" w:bidi="ar-SA"/>
    </w:rPr>
  </w:style>
  <w:style w:type="paragraph" w:customStyle="1" w:styleId="15">
    <w:name w:val="Table Text"/>
    <w:basedOn w:val="1"/>
    <w:semiHidden/>
    <w:qFormat/>
    <w:uiPriority w:val="0"/>
    <w:rPr>
      <w:rFonts w:ascii="仿宋" w:hAnsi="仿宋" w:eastAsia="仿宋" w:cs="仿宋"/>
      <w:sz w:val="22"/>
      <w:szCs w:val="22"/>
      <w:lang w:val="en-US" w:eastAsia="en-US" w:bidi="ar-SA"/>
    </w:rPr>
  </w:style>
  <w:style w:type="character" w:customStyle="1" w:styleId="16">
    <w:name w:val="font21"/>
    <w:basedOn w:val="12"/>
    <w:qFormat/>
    <w:uiPriority w:val="0"/>
    <w:rPr>
      <w:rFonts w:hint="eastAsia" w:ascii="宋体" w:hAnsi="宋体" w:eastAsia="宋体" w:cs="宋体"/>
      <w:color w:val="000000"/>
      <w:sz w:val="22"/>
      <w:szCs w:val="22"/>
      <w:u w:val="none"/>
    </w:rPr>
  </w:style>
  <w:style w:type="paragraph" w:customStyle="1" w:styleId="17">
    <w:name w:val="Table Paragraph"/>
    <w:basedOn w:val="1"/>
    <w:qFormat/>
    <w:uiPriority w:val="1"/>
    <w:pPr>
      <w:spacing w:before="144"/>
      <w:jc w:val="center"/>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840</Words>
  <Characters>922</Characters>
  <Lines>0</Lines>
  <Paragraphs>0</Paragraphs>
  <TotalTime>1</TotalTime>
  <ScaleCrop>false</ScaleCrop>
  <LinksUpToDate>false</LinksUpToDate>
  <CharactersWithSpaces>924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2022-04-27T07:33:00Z</dcterms:created>
  <dc:creator>柠檬不萌18090661003</dc:creator>
  <cp:lastModifiedBy>杨欣</cp:lastModifiedBy>
  <dcterms:modified xsi:type="dcterms:W3CDTF">2025-12-03T07:23:55Z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1644D8E91BA74CA2B6A49B807549C83E_13</vt:lpwstr>
  </property>
  <property fmtid="{D5CDD505-2E9C-101B-9397-08002B2CF9AE}" pid="4" name="KSOTemplateDocerSaveRecord">
    <vt:lpwstr>eyJoZGlkIjoiNDNmNTU3N2ZmNjI2YTIxMWMzOGMxNDliZjllOTgwMjkiLCJ1c2VySWQiOiIxMDU2NDUyMTE2In0=</vt:lpwstr>
  </property>
</Properties>
</file>