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B9DF4">
      <w:pPr>
        <w:ind w:firstLine="883" w:firstLineChars="200"/>
        <w:jc w:val="center"/>
        <w:rPr>
          <w:rFonts w:hint="default" w:ascii="仿宋" w:hAnsi="仿宋" w:eastAsia="仿宋" w:cs="仿宋"/>
          <w:color w:val="auto"/>
          <w:sz w:val="44"/>
          <w:szCs w:val="44"/>
          <w:lang w:val="en-US" w:eastAsia="zh-CN"/>
        </w:rPr>
      </w:pPr>
      <w:r>
        <w:rPr>
          <w:rFonts w:hint="eastAsia" w:ascii="仿宋" w:hAnsi="仿宋" w:eastAsia="仿宋" w:cs="仿宋"/>
          <w:b/>
          <w:bCs/>
          <w:color w:val="auto"/>
          <w:sz w:val="44"/>
          <w:szCs w:val="44"/>
          <w:lang w:val="en-US" w:eastAsia="zh-CN"/>
        </w:rPr>
        <w:t>调研邀请</w:t>
      </w:r>
    </w:p>
    <w:p w14:paraId="31197DA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西昌市人民医院</w:t>
      </w:r>
      <w:r>
        <w:rPr>
          <w:rFonts w:hint="eastAsia" w:ascii="仿宋" w:hAnsi="仿宋" w:eastAsia="仿宋" w:cs="仿宋"/>
          <w:color w:val="auto"/>
          <w:sz w:val="28"/>
          <w:szCs w:val="28"/>
        </w:rPr>
        <w:t>拟对</w:t>
      </w:r>
      <w:r>
        <w:rPr>
          <w:rFonts w:hint="eastAsia" w:ascii="仿宋" w:hAnsi="仿宋" w:eastAsia="仿宋" w:cs="仿宋"/>
          <w:color w:val="auto"/>
          <w:sz w:val="28"/>
          <w:szCs w:val="28"/>
          <w:lang w:val="en-US" w:eastAsia="zh-CN"/>
        </w:rPr>
        <w:t>一批</w:t>
      </w:r>
      <w:r>
        <w:rPr>
          <w:rFonts w:hint="eastAsia" w:ascii="仿宋" w:hAnsi="仿宋" w:eastAsia="仿宋" w:cs="仿宋"/>
          <w:color w:val="auto"/>
          <w:sz w:val="28"/>
          <w:szCs w:val="28"/>
        </w:rPr>
        <w:t>报废医疗设备残值评估服务</w:t>
      </w:r>
      <w:r>
        <w:rPr>
          <w:rFonts w:hint="eastAsia" w:ascii="仿宋" w:hAnsi="仿宋" w:eastAsia="仿宋" w:cs="仿宋"/>
          <w:color w:val="auto"/>
          <w:sz w:val="28"/>
          <w:szCs w:val="28"/>
          <w:lang w:val="en-US" w:eastAsia="zh-CN"/>
        </w:rPr>
        <w:t>项目开展</w:t>
      </w:r>
      <w:r>
        <w:rPr>
          <w:rFonts w:hint="eastAsia" w:ascii="仿宋" w:hAnsi="仿宋" w:eastAsia="仿宋" w:cs="仿宋"/>
          <w:color w:val="auto"/>
          <w:sz w:val="28"/>
          <w:szCs w:val="28"/>
        </w:rPr>
        <w:t>需求</w:t>
      </w:r>
      <w:r>
        <w:rPr>
          <w:rFonts w:hint="eastAsia" w:ascii="仿宋" w:hAnsi="仿宋" w:eastAsia="仿宋" w:cs="仿宋"/>
          <w:color w:val="auto"/>
          <w:sz w:val="28"/>
          <w:szCs w:val="28"/>
          <w:lang w:val="en-US" w:eastAsia="zh-CN"/>
        </w:rPr>
        <w:t>调研</w:t>
      </w:r>
      <w:r>
        <w:rPr>
          <w:rFonts w:hint="eastAsia" w:ascii="仿宋" w:hAnsi="仿宋" w:eastAsia="仿宋" w:cs="仿宋"/>
          <w:color w:val="auto"/>
          <w:sz w:val="28"/>
          <w:szCs w:val="28"/>
        </w:rPr>
        <w:t>，诚邀符合条件的</w:t>
      </w:r>
      <w:r>
        <w:rPr>
          <w:rFonts w:hint="eastAsia" w:ascii="仿宋" w:hAnsi="仿宋" w:eastAsia="仿宋" w:cs="仿宋"/>
          <w:color w:val="auto"/>
          <w:sz w:val="28"/>
          <w:szCs w:val="28"/>
          <w:lang w:val="en-US" w:eastAsia="zh-CN"/>
        </w:rPr>
        <w:t>潜在供应商</w:t>
      </w:r>
      <w:r>
        <w:rPr>
          <w:rFonts w:hint="eastAsia" w:ascii="仿宋" w:hAnsi="仿宋" w:eastAsia="仿宋" w:cs="仿宋"/>
          <w:color w:val="auto"/>
          <w:sz w:val="28"/>
          <w:szCs w:val="28"/>
        </w:rPr>
        <w:t>报名参加，具体情况如下</w:t>
      </w:r>
      <w:r>
        <w:rPr>
          <w:rFonts w:hint="eastAsia" w:ascii="仿宋" w:hAnsi="仿宋" w:eastAsia="仿宋" w:cs="仿宋"/>
          <w:color w:val="auto"/>
          <w:sz w:val="28"/>
          <w:szCs w:val="28"/>
          <w:lang w:eastAsia="zh-CN"/>
        </w:rPr>
        <w:t>：</w:t>
      </w:r>
    </w:p>
    <w:p w14:paraId="115C91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（一）项目概况</w:t>
      </w:r>
      <w:r>
        <w:rPr>
          <w:rFonts w:hint="eastAsia" w:ascii="仿宋" w:hAnsi="仿宋" w:eastAsia="仿宋" w:cs="仿宋"/>
          <w:color w:val="auto"/>
          <w:sz w:val="28"/>
          <w:szCs w:val="28"/>
        </w:rPr>
        <w:t>:</w:t>
      </w:r>
    </w:p>
    <w:p w14:paraId="1EE8B8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为了客观制定采购需求内容，本着“公开透明、公平竞争、公正”的原则，现采取发布公告的方式公开向潜在供应商发出邀请参加本项目采购需求问卷调研。本次调研针对西昌市人民医院</w:t>
      </w:r>
      <w:r>
        <w:rPr>
          <w:rFonts w:hint="eastAsia" w:ascii="仿宋" w:hAnsi="仿宋" w:eastAsia="仿宋" w:cs="仿宋"/>
          <w:color w:val="auto"/>
          <w:sz w:val="28"/>
          <w:szCs w:val="28"/>
          <w:lang w:val="en-US" w:eastAsia="zh-CN"/>
        </w:rPr>
        <w:t>一批</w:t>
      </w:r>
      <w:r>
        <w:rPr>
          <w:rFonts w:hint="eastAsia" w:ascii="仿宋" w:hAnsi="仿宋" w:eastAsia="仿宋" w:cs="仿宋"/>
          <w:color w:val="auto"/>
          <w:sz w:val="28"/>
          <w:szCs w:val="28"/>
        </w:rPr>
        <w:t>报废医疗设备残值评估服务</w:t>
      </w:r>
      <w:r>
        <w:rPr>
          <w:rFonts w:hint="eastAsia" w:ascii="仿宋" w:hAnsi="仿宋" w:eastAsia="仿宋" w:cs="仿宋"/>
          <w:color w:val="auto"/>
          <w:sz w:val="28"/>
          <w:szCs w:val="28"/>
          <w:lang w:val="en-US" w:eastAsia="zh-CN"/>
        </w:rPr>
        <w:t>项目开展</w:t>
      </w:r>
      <w:r>
        <w:rPr>
          <w:rFonts w:hint="eastAsia" w:ascii="仿宋" w:hAnsi="仿宋" w:eastAsia="仿宋" w:cs="仿宋"/>
          <w:color w:val="auto"/>
          <w:sz w:val="28"/>
          <w:szCs w:val="28"/>
        </w:rPr>
        <w:t>需求</w:t>
      </w:r>
      <w:r>
        <w:rPr>
          <w:rFonts w:hint="eastAsia" w:ascii="仿宋" w:hAnsi="仿宋" w:eastAsia="仿宋" w:cs="仿宋"/>
          <w:color w:val="auto"/>
          <w:sz w:val="28"/>
          <w:szCs w:val="28"/>
          <w:lang w:val="en-US" w:eastAsia="zh-CN"/>
        </w:rPr>
        <w:t>调研</w:t>
      </w:r>
      <w:r>
        <w:rPr>
          <w:rFonts w:hint="eastAsia" w:ascii="仿宋" w:hAnsi="仿宋" w:eastAsia="仿宋" w:cs="仿宋"/>
          <w:color w:val="auto"/>
          <w:sz w:val="28"/>
          <w:szCs w:val="28"/>
          <w:lang w:eastAsia="zh-CN"/>
        </w:rPr>
        <w:t>，主要包括</w:t>
      </w:r>
      <w:r>
        <w:rPr>
          <w:rFonts w:hint="eastAsia" w:ascii="仿宋" w:hAnsi="仿宋" w:eastAsia="仿宋" w:cs="仿宋"/>
          <w:color w:val="auto"/>
          <w:sz w:val="28"/>
          <w:szCs w:val="28"/>
          <w:lang w:val="en-US" w:eastAsia="zh-CN"/>
        </w:rPr>
        <w:t>调研“评估</w:t>
      </w:r>
      <w:r>
        <w:rPr>
          <w:rFonts w:hint="eastAsia" w:ascii="仿宋" w:hAnsi="仿宋" w:eastAsia="仿宋" w:cs="仿宋"/>
          <w:color w:val="auto"/>
          <w:sz w:val="28"/>
          <w:szCs w:val="28"/>
          <w:lang w:eastAsia="zh-CN"/>
        </w:rPr>
        <w:t>服务要求、报价、商务要求、</w:t>
      </w:r>
      <w:r>
        <w:rPr>
          <w:rFonts w:hint="eastAsia" w:ascii="仿宋" w:hAnsi="仿宋" w:eastAsia="仿宋" w:cs="仿宋"/>
          <w:color w:val="auto"/>
          <w:sz w:val="28"/>
          <w:szCs w:val="28"/>
          <w:lang w:val="en-US" w:eastAsia="zh-CN"/>
        </w:rPr>
        <w:t>供应商资质、针对本项目提出的特殊资格条件”</w:t>
      </w:r>
      <w:r>
        <w:rPr>
          <w:rFonts w:hint="eastAsia" w:ascii="仿宋" w:hAnsi="仿宋" w:eastAsia="仿宋" w:cs="仿宋"/>
          <w:color w:val="auto"/>
          <w:sz w:val="28"/>
          <w:szCs w:val="28"/>
          <w:lang w:eastAsia="zh-CN"/>
        </w:rPr>
        <w:t>等内容。</w:t>
      </w:r>
    </w:p>
    <w:p w14:paraId="7F65B45E">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（二）服务项目清单如下：</w:t>
      </w:r>
    </w:p>
    <w:tbl>
      <w:tblPr>
        <w:tblStyle w:val="10"/>
        <w:tblW w:w="8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6"/>
        <w:gridCol w:w="2004"/>
        <w:gridCol w:w="1817"/>
        <w:gridCol w:w="1133"/>
        <w:gridCol w:w="717"/>
        <w:gridCol w:w="891"/>
        <w:gridCol w:w="1959"/>
      </w:tblGrid>
      <w:tr w14:paraId="3693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386" w:type="dxa"/>
            <w:tcBorders>
              <w:top w:val="single" w:color="000000" w:sz="4" w:space="0"/>
              <w:left w:val="single" w:color="000000" w:sz="4" w:space="0"/>
              <w:bottom w:val="single" w:color="auto" w:sz="4" w:space="0"/>
              <w:right w:val="single" w:color="000000" w:sz="4" w:space="0"/>
            </w:tcBorders>
            <w:noWrap w:val="0"/>
            <w:vAlign w:val="center"/>
          </w:tcPr>
          <w:p w14:paraId="32C19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004" w:type="dxa"/>
            <w:tcBorders>
              <w:top w:val="single" w:color="000000" w:sz="4" w:space="0"/>
              <w:left w:val="single" w:color="000000" w:sz="4" w:space="0"/>
              <w:bottom w:val="single" w:color="auto" w:sz="4" w:space="0"/>
              <w:right w:val="single" w:color="000000" w:sz="4" w:space="0"/>
            </w:tcBorders>
            <w:noWrap w:val="0"/>
            <w:vAlign w:val="center"/>
          </w:tcPr>
          <w:p w14:paraId="286B4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拟调研评估服务项目名称</w:t>
            </w:r>
          </w:p>
        </w:tc>
        <w:tc>
          <w:tcPr>
            <w:tcW w:w="1817" w:type="dxa"/>
            <w:tcBorders>
              <w:top w:val="single" w:color="000000" w:sz="4" w:space="0"/>
              <w:left w:val="single" w:color="000000" w:sz="4" w:space="0"/>
              <w:bottom w:val="single" w:color="auto" w:sz="4" w:space="0"/>
              <w:right w:val="single" w:color="000000" w:sz="4" w:space="0"/>
            </w:tcBorders>
            <w:noWrap w:val="0"/>
            <w:vAlign w:val="center"/>
          </w:tcPr>
          <w:p w14:paraId="764E3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基本服务要求</w:t>
            </w:r>
          </w:p>
        </w:tc>
        <w:tc>
          <w:tcPr>
            <w:tcW w:w="1133" w:type="dxa"/>
            <w:tcBorders>
              <w:top w:val="single" w:color="000000" w:sz="4" w:space="0"/>
              <w:left w:val="single" w:color="000000" w:sz="4" w:space="0"/>
              <w:bottom w:val="single" w:color="auto" w:sz="4" w:space="0"/>
              <w:right w:val="single" w:color="000000" w:sz="4" w:space="0"/>
            </w:tcBorders>
            <w:noWrap w:val="0"/>
            <w:vAlign w:val="center"/>
          </w:tcPr>
          <w:p w14:paraId="52EA6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数量/单位</w:t>
            </w:r>
          </w:p>
        </w:tc>
        <w:tc>
          <w:tcPr>
            <w:tcW w:w="717" w:type="dxa"/>
            <w:tcBorders>
              <w:top w:val="single" w:color="000000" w:sz="4" w:space="0"/>
              <w:left w:val="single" w:color="000000" w:sz="4" w:space="0"/>
              <w:bottom w:val="single" w:color="auto" w:sz="4" w:space="0"/>
              <w:right w:val="single" w:color="000000" w:sz="4" w:space="0"/>
            </w:tcBorders>
            <w:noWrap w:val="0"/>
            <w:vAlign w:val="center"/>
          </w:tcPr>
          <w:p w14:paraId="71155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服务时间</w:t>
            </w:r>
          </w:p>
        </w:tc>
        <w:tc>
          <w:tcPr>
            <w:tcW w:w="891" w:type="dxa"/>
            <w:tcBorders>
              <w:top w:val="single" w:color="000000" w:sz="4" w:space="0"/>
              <w:left w:val="single" w:color="000000" w:sz="4" w:space="0"/>
              <w:bottom w:val="single" w:color="auto" w:sz="4" w:space="0"/>
              <w:right w:val="single" w:color="000000" w:sz="4" w:space="0"/>
            </w:tcBorders>
            <w:noWrap w:val="0"/>
            <w:vAlign w:val="center"/>
          </w:tcPr>
          <w:p w14:paraId="6B3E6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服务类型</w:t>
            </w:r>
          </w:p>
        </w:tc>
        <w:tc>
          <w:tcPr>
            <w:tcW w:w="1959" w:type="dxa"/>
            <w:tcBorders>
              <w:top w:val="single" w:color="000000" w:sz="4" w:space="0"/>
              <w:left w:val="single" w:color="000000" w:sz="4" w:space="0"/>
              <w:bottom w:val="single" w:color="auto" w:sz="4" w:space="0"/>
              <w:right w:val="single" w:color="000000" w:sz="4" w:space="0"/>
            </w:tcBorders>
            <w:noWrap w:val="0"/>
            <w:vAlign w:val="center"/>
          </w:tcPr>
          <w:p w14:paraId="6B6F4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232C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386" w:type="dxa"/>
            <w:tcBorders>
              <w:top w:val="single" w:color="auto" w:sz="4" w:space="0"/>
              <w:left w:val="single" w:color="auto" w:sz="4" w:space="0"/>
              <w:bottom w:val="single" w:color="auto" w:sz="4" w:space="0"/>
              <w:right w:val="single" w:color="000000" w:sz="4" w:space="0"/>
            </w:tcBorders>
            <w:noWrap w:val="0"/>
            <w:vAlign w:val="center"/>
          </w:tcPr>
          <w:p w14:paraId="3C42B5C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2004" w:type="dxa"/>
            <w:tcBorders>
              <w:top w:val="single" w:color="auto" w:sz="4" w:space="0"/>
              <w:left w:val="single" w:color="000000" w:sz="4" w:space="0"/>
              <w:bottom w:val="single" w:color="auto" w:sz="4" w:space="0"/>
              <w:right w:val="single" w:color="000000" w:sz="4" w:space="0"/>
            </w:tcBorders>
            <w:noWrap w:val="0"/>
            <w:vAlign w:val="center"/>
          </w:tcPr>
          <w:p w14:paraId="7087162F">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西昌市人民医院一批报废医疗设备残值评估服务</w:t>
            </w:r>
            <w:r>
              <w:rPr>
                <w:rFonts w:hint="eastAsia" w:ascii="仿宋" w:hAnsi="仿宋" w:eastAsia="仿宋" w:cs="仿宋"/>
                <w:i w:val="0"/>
                <w:iCs w:val="0"/>
                <w:color w:val="000000"/>
                <w:sz w:val="24"/>
                <w:szCs w:val="24"/>
                <w:u w:val="none"/>
                <w:lang w:val="en-US" w:eastAsia="zh-CN"/>
              </w:rPr>
              <w:t>项目</w:t>
            </w:r>
          </w:p>
        </w:tc>
        <w:tc>
          <w:tcPr>
            <w:tcW w:w="1817" w:type="dxa"/>
            <w:tcBorders>
              <w:top w:val="single" w:color="auto" w:sz="4" w:space="0"/>
              <w:left w:val="single" w:color="000000" w:sz="4" w:space="0"/>
              <w:bottom w:val="single" w:color="auto" w:sz="4" w:space="0"/>
              <w:right w:val="single" w:color="000000" w:sz="4" w:space="0"/>
            </w:tcBorders>
            <w:noWrap w:val="0"/>
            <w:vAlign w:val="center"/>
          </w:tcPr>
          <w:p w14:paraId="34C7DC2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rPr>
              <w:t>一批报废医疗设备残值评估</w:t>
            </w:r>
          </w:p>
        </w:tc>
        <w:tc>
          <w:tcPr>
            <w:tcW w:w="1133" w:type="dxa"/>
            <w:tcBorders>
              <w:top w:val="single" w:color="auto" w:sz="4" w:space="0"/>
              <w:left w:val="single" w:color="000000" w:sz="4" w:space="0"/>
              <w:bottom w:val="single" w:color="auto" w:sz="4" w:space="0"/>
              <w:right w:val="single" w:color="000000" w:sz="4" w:space="0"/>
            </w:tcBorders>
            <w:noWrap w:val="0"/>
            <w:vAlign w:val="center"/>
          </w:tcPr>
          <w:p w14:paraId="01D634A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1批</w:t>
            </w:r>
          </w:p>
        </w:tc>
        <w:tc>
          <w:tcPr>
            <w:tcW w:w="717" w:type="dxa"/>
            <w:tcBorders>
              <w:top w:val="single" w:color="auto" w:sz="4" w:space="0"/>
              <w:left w:val="single" w:color="000000" w:sz="4" w:space="0"/>
              <w:bottom w:val="single" w:color="auto" w:sz="4" w:space="0"/>
              <w:right w:val="single" w:color="000000" w:sz="4" w:space="0"/>
            </w:tcBorders>
            <w:noWrap w:val="0"/>
            <w:vAlign w:val="center"/>
          </w:tcPr>
          <w:p w14:paraId="2791C62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一周</w:t>
            </w:r>
          </w:p>
        </w:tc>
        <w:tc>
          <w:tcPr>
            <w:tcW w:w="891" w:type="dxa"/>
            <w:tcBorders>
              <w:top w:val="single" w:color="auto" w:sz="4" w:space="0"/>
              <w:left w:val="single" w:color="000000" w:sz="4" w:space="0"/>
              <w:bottom w:val="single" w:color="auto" w:sz="4" w:space="0"/>
              <w:right w:val="single" w:color="000000" w:sz="4" w:space="0"/>
            </w:tcBorders>
            <w:noWrap w:val="0"/>
            <w:vAlign w:val="center"/>
          </w:tcPr>
          <w:p w14:paraId="4465013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全包</w:t>
            </w:r>
          </w:p>
        </w:tc>
        <w:tc>
          <w:tcPr>
            <w:tcW w:w="1959" w:type="dxa"/>
            <w:tcBorders>
              <w:top w:val="single" w:color="auto" w:sz="4" w:space="0"/>
              <w:left w:val="single" w:color="000000" w:sz="4" w:space="0"/>
              <w:bottom w:val="single" w:color="auto" w:sz="4" w:space="0"/>
              <w:right w:val="single" w:color="auto" w:sz="4" w:space="0"/>
            </w:tcBorders>
            <w:noWrap w:val="0"/>
            <w:vAlign w:val="center"/>
          </w:tcPr>
          <w:p w14:paraId="00AE275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报废医疗设备清单及报废医疗设备图片详见附件；</w:t>
            </w:r>
          </w:p>
        </w:tc>
      </w:tr>
    </w:tbl>
    <w:p w14:paraId="7FD9AC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1、供应商报价应是全部工作内容的价格体现，应包括全部工作内容的价格体现，该报价包含了实施本项目所需的评估师计时费、差旅费、现场勘察费（如涉及）、税费、合理利润和各种风险等完成本项目所需的一切费用，采购人不再另行支付其他任何费用。</w:t>
      </w:r>
    </w:p>
    <w:p w14:paraId="00907E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2、各潜在供应商须根据自身服务能力填写调研问卷。</w:t>
      </w:r>
    </w:p>
    <w:p w14:paraId="7ED8FA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（三）现场勘察时间及要求</w:t>
      </w:r>
    </w:p>
    <w:p w14:paraId="05CF0444">
      <w:pPr>
        <w:keepNext w:val="0"/>
        <w:keepLines w:val="0"/>
        <w:pageBreakBefore w:val="0"/>
        <w:widowControl w:val="0"/>
        <w:kinsoku/>
        <w:wordWrap/>
        <w:overflowPunct/>
        <w:topLinePunct w:val="0"/>
        <w:autoSpaceDE/>
        <w:autoSpaceDN/>
        <w:bidi w:val="0"/>
        <w:adjustRightInd/>
        <w:snapToGrid/>
        <w:spacing w:line="500" w:lineRule="exact"/>
        <w:ind w:left="0" w:leftChars="0" w:firstLine="641" w:firstLineChars="228"/>
        <w:jc w:val="left"/>
        <w:textAlignment w:val="auto"/>
        <w:rPr>
          <w:rFonts w:hint="default" w:ascii="仿宋" w:hAnsi="仿宋" w:eastAsia="仿宋" w:cs="仿宋"/>
          <w:color w:val="auto"/>
          <w:sz w:val="28"/>
          <w:szCs w:val="28"/>
          <w:lang w:val="en-US" w:eastAsia="zh-CN"/>
        </w:rPr>
      </w:pPr>
      <w:r>
        <w:rPr>
          <w:rFonts w:hint="default" w:ascii="仿宋" w:hAnsi="仿宋" w:eastAsia="仿宋" w:cs="仿宋"/>
          <w:b/>
          <w:bCs/>
          <w:color w:val="auto"/>
          <w:sz w:val="28"/>
          <w:szCs w:val="28"/>
          <w:lang w:val="en-US" w:eastAsia="zh-CN"/>
        </w:rPr>
        <w:t>现场勘察：采购人统一组织现场勘察，时间为2025年9月</w:t>
      </w:r>
      <w:r>
        <w:rPr>
          <w:rFonts w:hint="eastAsia" w:ascii="仿宋" w:hAnsi="仿宋" w:eastAsia="仿宋" w:cs="仿宋"/>
          <w:b/>
          <w:bCs/>
          <w:color w:val="auto"/>
          <w:sz w:val="28"/>
          <w:szCs w:val="28"/>
          <w:lang w:val="en-US" w:eastAsia="zh-CN"/>
        </w:rPr>
        <w:t>29</w:t>
      </w:r>
      <w:r>
        <w:rPr>
          <w:rFonts w:hint="default" w:ascii="仿宋" w:hAnsi="仿宋" w:eastAsia="仿宋" w:cs="仿宋"/>
          <w:b/>
          <w:bCs/>
          <w:color w:val="auto"/>
          <w:sz w:val="28"/>
          <w:szCs w:val="28"/>
          <w:lang w:val="en-US" w:eastAsia="zh-CN"/>
        </w:rPr>
        <w:t>日1</w:t>
      </w:r>
      <w:r>
        <w:rPr>
          <w:rFonts w:hint="eastAsia" w:ascii="仿宋" w:hAnsi="仿宋" w:eastAsia="仿宋" w:cs="仿宋"/>
          <w:b/>
          <w:bCs/>
          <w:color w:val="auto"/>
          <w:sz w:val="28"/>
          <w:szCs w:val="28"/>
          <w:lang w:val="en-US" w:eastAsia="zh-CN"/>
        </w:rPr>
        <w:t>5</w:t>
      </w:r>
      <w:r>
        <w:rPr>
          <w:rFonts w:hint="default" w:ascii="仿宋" w:hAnsi="仿宋" w:eastAsia="仿宋" w:cs="仿宋"/>
          <w:b/>
          <w:bCs/>
          <w:color w:val="auto"/>
          <w:sz w:val="28"/>
          <w:szCs w:val="28"/>
          <w:lang w:val="en-US" w:eastAsia="zh-CN"/>
        </w:rPr>
        <w:t>:</w:t>
      </w:r>
      <w:r>
        <w:rPr>
          <w:rFonts w:hint="eastAsia" w:ascii="仿宋" w:hAnsi="仿宋" w:eastAsia="仿宋" w:cs="仿宋"/>
          <w:b/>
          <w:bCs/>
          <w:color w:val="auto"/>
          <w:sz w:val="28"/>
          <w:szCs w:val="28"/>
          <w:lang w:val="en-US" w:eastAsia="zh-CN"/>
        </w:rPr>
        <w:t>00</w:t>
      </w:r>
      <w:r>
        <w:rPr>
          <w:rFonts w:hint="default" w:ascii="仿宋" w:hAnsi="仿宋" w:eastAsia="仿宋" w:cs="仿宋"/>
          <w:b/>
          <w:bCs/>
          <w:color w:val="auto"/>
          <w:sz w:val="28"/>
          <w:szCs w:val="28"/>
          <w:lang w:val="en-US" w:eastAsia="zh-CN"/>
        </w:rPr>
        <w:t>，未在指定时间到达勘察现场的视为自动放弃现场勘察</w:t>
      </w:r>
      <w:r>
        <w:rPr>
          <w:rFonts w:hint="eastAsia" w:ascii="仿宋" w:hAnsi="仿宋" w:eastAsia="仿宋" w:cs="仿宋"/>
          <w:b/>
          <w:bCs/>
          <w:color w:val="auto"/>
          <w:sz w:val="28"/>
          <w:szCs w:val="28"/>
          <w:lang w:val="en-US" w:eastAsia="zh-CN"/>
        </w:rPr>
        <w:t>。</w:t>
      </w:r>
    </w:p>
    <w:p w14:paraId="45F970C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地点：西昌市顺河路101号（西昌市</w:t>
      </w:r>
      <w:bookmarkStart w:id="0" w:name="_GoBack"/>
      <w:bookmarkEnd w:id="0"/>
      <w:r>
        <w:rPr>
          <w:rFonts w:hint="eastAsia" w:ascii="仿宋" w:hAnsi="仿宋" w:eastAsia="仿宋" w:cs="仿宋"/>
          <w:b/>
          <w:bCs/>
          <w:color w:val="auto"/>
          <w:sz w:val="28"/>
          <w:szCs w:val="28"/>
          <w:lang w:val="en-US" w:eastAsia="zh-CN"/>
        </w:rPr>
        <w:t>人民医院C栋1楼医学装备科）</w:t>
      </w:r>
    </w:p>
    <w:p w14:paraId="6C1C70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lang w:val="en-US" w:eastAsia="zh-CN"/>
        </w:rPr>
      </w:pPr>
    </w:p>
    <w:p w14:paraId="122CD1F0">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br w:type="page"/>
      </w:r>
    </w:p>
    <w:p w14:paraId="5FB5B9D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（四）调研文件送达要求</w:t>
      </w:r>
      <w:r>
        <w:rPr>
          <w:rFonts w:hint="eastAsia" w:ascii="仿宋" w:hAnsi="仿宋" w:eastAsia="仿宋" w:cs="仿宋"/>
          <w:color w:val="auto"/>
          <w:sz w:val="28"/>
          <w:szCs w:val="28"/>
          <w:lang w:val="en-US" w:eastAsia="zh-CN"/>
        </w:rPr>
        <w:t>：</w:t>
      </w:r>
    </w:p>
    <w:p w14:paraId="4DC0DB59">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28"/>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调研活动的供应商于202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28</w:t>
      </w:r>
      <w:r>
        <w:rPr>
          <w:rFonts w:hint="eastAsia" w:ascii="仿宋" w:hAnsi="仿宋" w:eastAsia="仿宋" w:cs="仿宋"/>
          <w:color w:val="auto"/>
          <w:sz w:val="28"/>
          <w:szCs w:val="28"/>
        </w:rPr>
        <w:t>日至202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日上午9:00-12:00下午2:30-</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:00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北京时间，法定节假日除外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内按照我方要求将调研申请文件递交至四川坤千项目管理有限公司</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本次调研申请文件</w:t>
      </w:r>
      <w:r>
        <w:rPr>
          <w:rFonts w:hint="eastAsia" w:ascii="仿宋" w:hAnsi="仿宋" w:eastAsia="仿宋" w:cs="仿宋"/>
          <w:color w:val="auto"/>
          <w:sz w:val="28"/>
          <w:szCs w:val="28"/>
          <w:lang w:val="en-US" w:eastAsia="zh-CN"/>
        </w:rPr>
        <w:t>递交方式为两种（现场递交或邮箱递交）。</w:t>
      </w:r>
    </w:p>
    <w:p w14:paraId="6D073CAF">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28"/>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邮箱递交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请</w:t>
      </w:r>
      <w:r>
        <w:rPr>
          <w:rFonts w:hint="eastAsia" w:ascii="仿宋" w:hAnsi="仿宋" w:eastAsia="仿宋" w:cs="仿宋"/>
          <w:color w:val="auto"/>
          <w:sz w:val="28"/>
          <w:szCs w:val="28"/>
        </w:rPr>
        <w:t>邮箱发送至</w:t>
      </w:r>
      <w:r>
        <w:rPr>
          <w:rFonts w:hint="eastAsia" w:ascii="仿宋" w:hAnsi="仿宋" w:eastAsia="仿宋" w:cs="仿宋"/>
          <w:color w:val="auto"/>
          <w:sz w:val="28"/>
          <w:szCs w:val="28"/>
          <w:lang w:val="en-US" w:eastAsia="zh-CN"/>
        </w:rPr>
        <w:t>1365982534@qq.com（注：使</w:t>
      </w:r>
      <w:r>
        <w:rPr>
          <w:rFonts w:hint="eastAsia" w:ascii="仿宋" w:hAnsi="仿宋" w:eastAsia="仿宋" w:cs="仿宋"/>
          <w:color w:val="auto"/>
          <w:sz w:val="28"/>
          <w:szCs w:val="28"/>
        </w:rPr>
        <w:t>用邮箱发送的调研申请文件需为逐页盖章扫描件一份、可编辑word文档一份，扫描件与word文档须一致）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现场递交的，请将纸质原件（加盖供应商鲜章）递交至四川省凉山州西昌市航天大道一段144号（凯悦帝景后门旁边）四川坤千项目管理有限公司。</w:t>
      </w:r>
    </w:p>
    <w:p w14:paraId="5E21286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联系人：沙女士 </w:t>
      </w:r>
    </w:p>
    <w:p w14:paraId="7E083F6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lang w:val="en-US" w:eastAsia="zh-CN"/>
        </w:rPr>
        <w:t>17788688824</w:t>
      </w:r>
    </w:p>
    <w:p w14:paraId="18D9F449">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28"/>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注：以上</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种</w:t>
      </w:r>
      <w:r>
        <w:rPr>
          <w:rFonts w:hint="eastAsia" w:ascii="仿宋" w:hAnsi="仿宋" w:eastAsia="仿宋" w:cs="仿宋"/>
          <w:color w:val="auto"/>
          <w:sz w:val="28"/>
          <w:szCs w:val="28"/>
          <w:lang w:val="en-US" w:eastAsia="zh-CN"/>
        </w:rPr>
        <w:t>参与</w:t>
      </w:r>
      <w:r>
        <w:rPr>
          <w:rFonts w:hint="eastAsia" w:ascii="仿宋" w:hAnsi="仿宋" w:eastAsia="仿宋" w:cs="仿宋"/>
          <w:color w:val="auto"/>
          <w:sz w:val="28"/>
          <w:szCs w:val="28"/>
        </w:rPr>
        <w:t>方式均需要提供供应商营业执照复印件、供应商单位介绍信原件（介绍信附注联系人电话及邮箱）及</w:t>
      </w:r>
      <w:r>
        <w:rPr>
          <w:rFonts w:hint="eastAsia" w:ascii="仿宋" w:hAnsi="仿宋" w:eastAsia="仿宋" w:cs="仿宋"/>
          <w:color w:val="auto"/>
          <w:sz w:val="28"/>
          <w:szCs w:val="28"/>
          <w:lang w:val="en-US" w:eastAsia="zh-CN"/>
        </w:rPr>
        <w:t>联系</w:t>
      </w:r>
      <w:r>
        <w:rPr>
          <w:rFonts w:hint="eastAsia" w:ascii="仿宋" w:hAnsi="仿宋" w:eastAsia="仿宋" w:cs="仿宋"/>
          <w:color w:val="auto"/>
          <w:sz w:val="28"/>
          <w:szCs w:val="28"/>
        </w:rPr>
        <w:t>人身份证正反面复印件[加盖供应商单位公章（鲜章）]。</w:t>
      </w:r>
    </w:p>
    <w:p w14:paraId="4A75897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textAlignment w:val="baseline"/>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（五）、调研申请文件要求：</w:t>
      </w:r>
    </w:p>
    <w:p w14:paraId="21480A5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40"/>
        <w:textAlignment w:val="baseline"/>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调研文件需包含1、营业执照；2法定代表人委托书；3、评估服务要求；4、报价；5、商务要求；6、供应商资质；7、</w:t>
      </w:r>
      <w:r>
        <w:rPr>
          <w:rFonts w:hint="eastAsia" w:ascii="仿宋" w:hAnsi="仿宋" w:eastAsia="仿宋" w:cs="仿宋"/>
          <w:color w:val="auto"/>
          <w:sz w:val="28"/>
          <w:szCs w:val="28"/>
          <w:lang w:val="en-US" w:eastAsia="zh-CN"/>
        </w:rPr>
        <w:t>针对本项目提出的特殊资格条件；</w:t>
      </w:r>
    </w:p>
    <w:p w14:paraId="2AFBE02A">
      <w:pPr>
        <w:rPr>
          <w:rFonts w:hint="eastAsia" w:ascii="仿宋" w:hAnsi="仿宋" w:eastAsia="仿宋" w:cs="仿宋"/>
          <w:b/>
          <w:bCs/>
          <w:color w:val="auto"/>
          <w:sz w:val="28"/>
          <w:szCs w:val="28"/>
        </w:rPr>
      </w:pPr>
    </w:p>
    <w:p w14:paraId="7B96340B">
      <w:pPr>
        <w:ind w:firstLine="6440" w:firstLineChars="23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2025年9月</w:t>
      </w:r>
    </w:p>
    <w:p w14:paraId="3320FA52">
      <w:pPr>
        <w:rPr>
          <w:rFonts w:hint="default" w:ascii="仿宋" w:hAnsi="仿宋" w:eastAsia="仿宋" w:cs="仿宋"/>
          <w:b/>
          <w:bCs/>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3DD58"/>
    <w:multiLevelType w:val="singleLevel"/>
    <w:tmpl w:val="FF13DD58"/>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OGY3ZWU2MzYxNzFlNmQyZDc3OWUxMDlhMmU2MGYifQ=="/>
  </w:docVars>
  <w:rsids>
    <w:rsidRoot w:val="5A192471"/>
    <w:rsid w:val="012634A2"/>
    <w:rsid w:val="0138166C"/>
    <w:rsid w:val="02550F58"/>
    <w:rsid w:val="03103BAE"/>
    <w:rsid w:val="05663C6F"/>
    <w:rsid w:val="06443275"/>
    <w:rsid w:val="06F24CFF"/>
    <w:rsid w:val="07F05D6A"/>
    <w:rsid w:val="085546C8"/>
    <w:rsid w:val="0961519A"/>
    <w:rsid w:val="0AAF5095"/>
    <w:rsid w:val="0AC34A90"/>
    <w:rsid w:val="0B0C55A3"/>
    <w:rsid w:val="0B1C3A38"/>
    <w:rsid w:val="0E6F2634"/>
    <w:rsid w:val="0FC610FD"/>
    <w:rsid w:val="0FE84FF1"/>
    <w:rsid w:val="12AB3B55"/>
    <w:rsid w:val="12D0134B"/>
    <w:rsid w:val="130A686C"/>
    <w:rsid w:val="134B2E23"/>
    <w:rsid w:val="13E56C70"/>
    <w:rsid w:val="147A1458"/>
    <w:rsid w:val="15934B12"/>
    <w:rsid w:val="181819C7"/>
    <w:rsid w:val="18A52F64"/>
    <w:rsid w:val="1A195792"/>
    <w:rsid w:val="1ABA0B77"/>
    <w:rsid w:val="1B3D7AB0"/>
    <w:rsid w:val="1BB6133F"/>
    <w:rsid w:val="1CB56661"/>
    <w:rsid w:val="1CF10155"/>
    <w:rsid w:val="1E2C28B5"/>
    <w:rsid w:val="1F525822"/>
    <w:rsid w:val="2038524E"/>
    <w:rsid w:val="22347461"/>
    <w:rsid w:val="24A252DC"/>
    <w:rsid w:val="24F05F88"/>
    <w:rsid w:val="26480ADD"/>
    <w:rsid w:val="26AF5308"/>
    <w:rsid w:val="276E08C0"/>
    <w:rsid w:val="28996270"/>
    <w:rsid w:val="2A45488D"/>
    <w:rsid w:val="2A7234EC"/>
    <w:rsid w:val="2AC06945"/>
    <w:rsid w:val="2AD01B9F"/>
    <w:rsid w:val="2C724E62"/>
    <w:rsid w:val="2CE33F5E"/>
    <w:rsid w:val="2FD16645"/>
    <w:rsid w:val="30717AD3"/>
    <w:rsid w:val="30CD1601"/>
    <w:rsid w:val="31D15242"/>
    <w:rsid w:val="33AB6E58"/>
    <w:rsid w:val="342D2A38"/>
    <w:rsid w:val="34EF6A10"/>
    <w:rsid w:val="351D3D85"/>
    <w:rsid w:val="36C721FA"/>
    <w:rsid w:val="3749213D"/>
    <w:rsid w:val="38CE659A"/>
    <w:rsid w:val="395D7A19"/>
    <w:rsid w:val="3A0D43C8"/>
    <w:rsid w:val="3B4B47A2"/>
    <w:rsid w:val="3B955B89"/>
    <w:rsid w:val="3D5831EA"/>
    <w:rsid w:val="3DCE20C0"/>
    <w:rsid w:val="3E265A58"/>
    <w:rsid w:val="3E302C87"/>
    <w:rsid w:val="3F177AA8"/>
    <w:rsid w:val="40BE01CA"/>
    <w:rsid w:val="41126927"/>
    <w:rsid w:val="41856683"/>
    <w:rsid w:val="41911D83"/>
    <w:rsid w:val="44B813D4"/>
    <w:rsid w:val="44E623E5"/>
    <w:rsid w:val="4588349D"/>
    <w:rsid w:val="46BC3305"/>
    <w:rsid w:val="48B8579C"/>
    <w:rsid w:val="49C97F2E"/>
    <w:rsid w:val="4EDE4B72"/>
    <w:rsid w:val="500F3B53"/>
    <w:rsid w:val="502403F8"/>
    <w:rsid w:val="50E87388"/>
    <w:rsid w:val="51453FF0"/>
    <w:rsid w:val="5145441E"/>
    <w:rsid w:val="530565D7"/>
    <w:rsid w:val="539F3202"/>
    <w:rsid w:val="53A74089"/>
    <w:rsid w:val="54FC2A5F"/>
    <w:rsid w:val="55A7090F"/>
    <w:rsid w:val="579D353B"/>
    <w:rsid w:val="59CA78ED"/>
    <w:rsid w:val="5A192471"/>
    <w:rsid w:val="5BAF62DA"/>
    <w:rsid w:val="5D87497E"/>
    <w:rsid w:val="60DC3129"/>
    <w:rsid w:val="617A375E"/>
    <w:rsid w:val="61F742FE"/>
    <w:rsid w:val="631F286B"/>
    <w:rsid w:val="635A407B"/>
    <w:rsid w:val="63716434"/>
    <w:rsid w:val="64CB0779"/>
    <w:rsid w:val="65F7686C"/>
    <w:rsid w:val="67056041"/>
    <w:rsid w:val="67A05FCC"/>
    <w:rsid w:val="68FC4D7F"/>
    <w:rsid w:val="6B4551DE"/>
    <w:rsid w:val="6BCC3834"/>
    <w:rsid w:val="6C3950C3"/>
    <w:rsid w:val="6C720A32"/>
    <w:rsid w:val="6FD97A82"/>
    <w:rsid w:val="705D0EFE"/>
    <w:rsid w:val="70E611B1"/>
    <w:rsid w:val="713F48D1"/>
    <w:rsid w:val="71F92EA9"/>
    <w:rsid w:val="734C1CDF"/>
    <w:rsid w:val="735E2AFA"/>
    <w:rsid w:val="73A3131E"/>
    <w:rsid w:val="73E816B9"/>
    <w:rsid w:val="747F6FF7"/>
    <w:rsid w:val="74F16D12"/>
    <w:rsid w:val="7879264D"/>
    <w:rsid w:val="7908404B"/>
    <w:rsid w:val="7A9E1BD4"/>
    <w:rsid w:val="7AE03A8A"/>
    <w:rsid w:val="7C26103C"/>
    <w:rsid w:val="7CBD1457"/>
    <w:rsid w:val="7D7358BD"/>
    <w:rsid w:val="7DE30074"/>
    <w:rsid w:val="7EF0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1"/>
    <w:pPr>
      <w:spacing w:before="265"/>
      <w:ind w:left="147"/>
      <w:outlineLvl w:val="0"/>
    </w:pPr>
    <w:rPr>
      <w:sz w:val="36"/>
      <w:szCs w:val="36"/>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widowControl/>
      <w:ind w:firstLine="420" w:firstLineChars="200"/>
      <w:jc w:val="left"/>
    </w:pPr>
    <w:rPr>
      <w:rFonts w:ascii="Calibri" w:hAnsi="Calibri" w:eastAsia="宋体"/>
      <w:sz w:val="24"/>
      <w:szCs w:val="24"/>
    </w:rPr>
  </w:style>
  <w:style w:type="paragraph" w:styleId="4">
    <w:name w:val="annotation text"/>
    <w:basedOn w:val="1"/>
    <w:autoRedefine/>
    <w:qFormat/>
    <w:uiPriority w:val="0"/>
    <w:pPr>
      <w:jc w:val="left"/>
    </w:pPr>
  </w:style>
  <w:style w:type="paragraph" w:styleId="5">
    <w:name w:val="Body Text"/>
    <w:basedOn w:val="1"/>
    <w:qFormat/>
    <w:uiPriority w:val="0"/>
    <w:pPr>
      <w:widowControl/>
      <w:spacing w:line="360" w:lineRule="auto"/>
    </w:pPr>
    <w:rPr>
      <w:color w:val="FF0000"/>
    </w:rPr>
  </w:style>
  <w:style w:type="paragraph" w:styleId="6">
    <w:name w:val="Body Text Indent 2"/>
    <w:basedOn w:val="1"/>
    <w:next w:val="7"/>
    <w:qFormat/>
    <w:uiPriority w:val="0"/>
    <w:pPr>
      <w:spacing w:after="120" w:afterLines="0" w:line="480" w:lineRule="auto"/>
      <w:ind w:left="420" w:leftChars="200"/>
    </w:pPr>
  </w:style>
  <w:style w:type="paragraph" w:customStyle="1" w:styleId="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0"/>
    <w:rPr>
      <w:b/>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character" w:customStyle="1" w:styleId="15">
    <w:name w:val="NormalCharacter"/>
    <w:qFormat/>
    <w:uiPriority w:val="0"/>
    <w:rPr>
      <w:kern w:val="2"/>
      <w:sz w:val="21"/>
      <w:szCs w:val="24"/>
      <w:lang w:val="en-US" w:eastAsia="zh-CN" w:bidi="ar-SA"/>
    </w:rPr>
  </w:style>
  <w:style w:type="paragraph" w:customStyle="1" w:styleId="16">
    <w:name w:val="Table Text"/>
    <w:basedOn w:val="1"/>
    <w:autoRedefine/>
    <w:semiHidden/>
    <w:qFormat/>
    <w:uiPriority w:val="0"/>
    <w:rPr>
      <w:rFonts w:ascii="仿宋" w:hAnsi="仿宋" w:eastAsia="仿宋" w:cs="仿宋"/>
      <w:sz w:val="22"/>
      <w:szCs w:val="22"/>
      <w:lang w:val="en-US" w:eastAsia="en-US" w:bidi="ar-SA"/>
    </w:rPr>
  </w:style>
  <w:style w:type="character" w:customStyle="1" w:styleId="17">
    <w:name w:val="font21"/>
    <w:basedOn w:val="12"/>
    <w:autoRedefine/>
    <w:qFormat/>
    <w:uiPriority w:val="0"/>
    <w:rPr>
      <w:rFonts w:hint="eastAsia" w:ascii="宋体" w:hAnsi="宋体" w:eastAsia="宋体" w:cs="宋体"/>
      <w:color w:val="000000"/>
      <w:sz w:val="22"/>
      <w:szCs w:val="22"/>
      <w:u w:val="none"/>
    </w:rPr>
  </w:style>
  <w:style w:type="paragraph" w:customStyle="1" w:styleId="18">
    <w:name w:val="Table Paragraph"/>
    <w:basedOn w:val="1"/>
    <w:autoRedefine/>
    <w:qFormat/>
    <w:uiPriority w:val="1"/>
    <w:pPr>
      <w:spacing w:before="144"/>
      <w:jc w:val="center"/>
    </w:pPr>
  </w:style>
  <w:style w:type="character" w:customStyle="1" w:styleId="19">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986</Words>
  <Characters>1058</Characters>
  <Lines>1</Lines>
  <Paragraphs>1</Paragraphs>
  <TotalTime>11</TotalTime>
  <ScaleCrop>false</ScaleCrop>
  <LinksUpToDate>false</LinksUpToDate>
  <CharactersWithSpaces>1059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2022-04-27T07:33:00Z</dcterms:created>
  <dc:creator>柠檬不萌18090661003</dc:creator>
  <cp:lastModifiedBy>sc</cp:lastModifiedBy>
  <dcterms:modified xsi:type="dcterms:W3CDTF">2025-09-26T07:40:03Z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DA53D6625F944A8F8437BCF73CE62EA8_13</vt:lpwstr>
  </property>
  <property fmtid="{D5CDD505-2E9C-101B-9397-08002B2CF9AE}" pid="4" name="KSOTemplateDocerSaveRecord">
    <vt:lpwstr>eyJoZGlkIjoiYjcyOGY3ZWU2MzYxNzFlNmQyZDc3OWUxMDlhMmU2MGYiLCJ1c2VySWQiOiIzNjYyNjE5NTQifQ==</vt:lpwstr>
  </property>
</Properties>
</file>